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E44739"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8BA2919" w:rsidR="00820EE4" w:rsidRDefault="00437166" w:rsidP="00820EE4">
      <w:pPr>
        <w:rPr>
          <w:b/>
          <w:sz w:val="32"/>
          <w:szCs w:val="32"/>
          <w:u w:val="single"/>
        </w:rPr>
      </w:pPr>
      <w:r>
        <w:rPr>
          <w:b/>
          <w:sz w:val="32"/>
          <w:szCs w:val="32"/>
          <w:u w:val="single"/>
        </w:rPr>
        <w:t xml:space="preserve">190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31616C">
        <w:rPr>
          <w:b/>
          <w:sz w:val="32"/>
          <w:szCs w:val="32"/>
          <w:u w:val="single"/>
        </w:rPr>
        <w:t xml:space="preserve">Oct </w:t>
      </w:r>
      <w:r>
        <w:rPr>
          <w:b/>
          <w:sz w:val="32"/>
          <w:szCs w:val="32"/>
          <w:u w:val="single"/>
        </w:rPr>
        <w:t>15-21</w:t>
      </w:r>
      <w:r w:rsidR="00BC3BF9">
        <w:rPr>
          <w:b/>
          <w:sz w:val="32"/>
          <w:szCs w:val="32"/>
          <w:u w:val="single"/>
        </w:rPr>
        <w:t xml:space="preserve"> </w:t>
      </w:r>
      <w:r w:rsidR="00AD75F6">
        <w:rPr>
          <w:b/>
          <w:sz w:val="32"/>
          <w:szCs w:val="32"/>
          <w:u w:val="single"/>
        </w:rPr>
        <w:t>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03184D98" w:rsidR="00E30512" w:rsidRDefault="00820EE4" w:rsidP="00820EE4">
      <w:pPr>
        <w:rPr>
          <w:rStyle w:val="Hyperlink"/>
          <w:b/>
        </w:rPr>
      </w:pPr>
      <w:r>
        <w:rPr>
          <w:b/>
          <w:i/>
        </w:rPr>
        <w:t xml:space="preserve"> </w:t>
      </w:r>
      <w:hyperlink r:id="rId9" w:history="1">
        <w:r>
          <w:rPr>
            <w:rStyle w:val="Hyperlink"/>
            <w:b/>
          </w:rPr>
          <w:t>http://tonystephens.org.uk</w:t>
        </w:r>
      </w:hyperlink>
    </w:p>
    <w:p w14:paraId="0457B31D" w14:textId="77777777" w:rsidR="0090430F" w:rsidRDefault="0090430F" w:rsidP="007F516A">
      <w:pPr>
        <w:ind w:left="0"/>
        <w:rPr>
          <w:rStyle w:val="Hyperlink"/>
          <w:b/>
          <w:color w:val="00B0F0"/>
          <w:u w:val="none"/>
        </w:rPr>
      </w:pPr>
    </w:p>
    <w:p w14:paraId="59B251B8" w14:textId="165DA607" w:rsidR="00076028" w:rsidRDefault="0090430F" w:rsidP="007F516A">
      <w:pPr>
        <w:ind w:left="0"/>
        <w:rPr>
          <w:rStyle w:val="Hyperlink"/>
          <w:b/>
          <w:color w:val="00B0F0"/>
          <w:u w:val="none"/>
        </w:rPr>
      </w:pPr>
      <w:r>
        <w:rPr>
          <w:rStyle w:val="Hyperlink"/>
          <w:b/>
          <w:color w:val="00B0F0"/>
          <w:u w:val="none"/>
        </w:rPr>
        <w:t>Attendance</w:t>
      </w:r>
    </w:p>
    <w:p w14:paraId="05AA729D" w14:textId="77777777" w:rsidR="0090430F" w:rsidRDefault="0090430F">
      <w:pPr>
        <w:pStyle w:val="ListParagraph"/>
        <w:numPr>
          <w:ilvl w:val="0"/>
          <w:numId w:val="1"/>
        </w:numPr>
        <w:spacing w:after="160" w:afterAutospacing="0" w:line="259" w:lineRule="auto"/>
      </w:pPr>
      <w:r>
        <w:t xml:space="preserve">The DfE has issued statistics </w:t>
      </w:r>
      <w:r w:rsidRPr="003D35A7">
        <w:rPr>
          <w:b/>
          <w:bCs/>
        </w:rPr>
        <w:t>on pupil absence in schools in England: autumn 2021 and spring 2022</w:t>
      </w:r>
      <w:r>
        <w:t xml:space="preserve">. See </w:t>
      </w:r>
      <w:hyperlink r:id="rId10" w:history="1">
        <w:r w:rsidRPr="00772C47">
          <w:rPr>
            <w:rStyle w:val="Hyperlink"/>
          </w:rPr>
          <w:t>https://www.gov.uk/government/statistics/pupil-absence-in-schools-in-england-autumn-2021-and-spring-2022</w:t>
        </w:r>
      </w:hyperlink>
      <w:r>
        <w:t xml:space="preserve"> </w:t>
      </w:r>
    </w:p>
    <w:p w14:paraId="76FBAD33" w14:textId="77777777" w:rsidR="0090430F" w:rsidRDefault="0090430F" w:rsidP="0090430F">
      <w:pPr>
        <w:rPr>
          <w:b/>
          <w:bCs/>
        </w:rPr>
      </w:pPr>
      <w:r w:rsidRPr="00E51018">
        <w:rPr>
          <w:b/>
          <w:bCs/>
        </w:rPr>
        <w:t>Absence</w:t>
      </w:r>
    </w:p>
    <w:p w14:paraId="30307843" w14:textId="77777777" w:rsidR="0090430F" w:rsidRPr="00687B57" w:rsidRDefault="0090430F" w:rsidP="0090430F">
      <w:pPr>
        <w:ind w:left="360"/>
      </w:pPr>
      <w:r w:rsidRPr="001E76DC">
        <w:rPr>
          <w:b/>
          <w:bCs/>
        </w:rPr>
        <w:t>Absence</w:t>
      </w:r>
      <w:r w:rsidRPr="00687B57">
        <w:t xml:space="preserve"> - refers to children who are absent for authorised and unauthorised reasons, this includes children who are absent with a positive COVID case – but does not include children who are isolating but have not had a confirmed positive case, for example as a contact.</w:t>
      </w:r>
      <w:r>
        <w:t xml:space="preserve"> </w:t>
      </w:r>
      <w:r w:rsidRPr="001E76DC">
        <w:rPr>
          <w:b/>
          <w:bCs/>
        </w:rPr>
        <w:t>Not attending in circumstances relating to COVID</w:t>
      </w:r>
      <w:r w:rsidRPr="00B844F7">
        <w:t xml:space="preserve"> refers to children who are not attending school </w:t>
      </w:r>
      <w:r w:rsidRPr="00B844F7">
        <w:lastRenderedPageBreak/>
        <w:t>due to public health guidelines. It does not include absence due to positive COVID cases.</w:t>
      </w:r>
      <w:r>
        <w:t xml:space="preserve"> </w:t>
      </w:r>
      <w:r w:rsidRPr="001E76DC">
        <w:rPr>
          <w:b/>
          <w:bCs/>
        </w:rPr>
        <w:t>Total number of children out of school</w:t>
      </w:r>
      <w:r w:rsidRPr="001E76DC">
        <w:t xml:space="preserve"> refers to the sum of absent children and those not attending in circumstances relating to COVID – together this figure shows the total number of children not in school in person for any reason</w:t>
      </w:r>
    </w:p>
    <w:p w14:paraId="4E826A32" w14:textId="77777777" w:rsidR="0090430F" w:rsidRDefault="0090430F" w:rsidP="0090430F">
      <w:pPr>
        <w:ind w:left="360"/>
      </w:pPr>
      <w:r w:rsidRPr="0055534D">
        <w:rPr>
          <w:b/>
          <w:bCs/>
        </w:rPr>
        <w:t>The absence rate</w:t>
      </w:r>
      <w:r>
        <w:t xml:space="preserve"> increased within the academic year, from autumn 2021 to spring 2022. The absence rate in spring term 2022 alone was 7.9%, an increase from 6.9% in autumn 2021. Prior to the pandemic, this rate was typically around 5%, and a general increase between autumn and spring terms is expected. The increase is mostly driven by illness absence</w:t>
      </w:r>
    </w:p>
    <w:p w14:paraId="7C30E16B" w14:textId="77777777" w:rsidR="0090430F" w:rsidRDefault="0090430F" w:rsidP="0090430F">
      <w:pPr>
        <w:ind w:left="360"/>
      </w:pPr>
      <w:r>
        <w:t xml:space="preserve">The increase in absence was largely driven by a large increase in illness absence (including positive COVID cases), which increased from 4.4% in autumn 2021 to 5.0% in spring 2022. Unauthorised other reasons also increased from 1.2% to 1.4%. </w:t>
      </w:r>
    </w:p>
    <w:p w14:paraId="7A44BD3B" w14:textId="77777777" w:rsidR="0090430F" w:rsidRDefault="0090430F" w:rsidP="0090430F">
      <w:pPr>
        <w:ind w:left="360"/>
      </w:pPr>
      <w:r>
        <w:t>Overall, authorised absence rate increased from 5.3% to 6.1% while unauthorised absence increased from 1.6% to 1.9%.</w:t>
      </w:r>
    </w:p>
    <w:p w14:paraId="3A1C67E9" w14:textId="77777777" w:rsidR="0090430F" w:rsidRDefault="0090430F" w:rsidP="0090430F">
      <w:pPr>
        <w:ind w:left="360"/>
      </w:pPr>
      <w:r w:rsidRPr="0055534D">
        <w:rPr>
          <w:b/>
          <w:bCs/>
        </w:rPr>
        <w:t>Not attending due to COVID circumstances</w:t>
      </w:r>
      <w:r w:rsidRPr="00F65D07">
        <w:t xml:space="preserve"> decreased to 1.3% across the two</w:t>
      </w:r>
      <w:r>
        <w:t>-</w:t>
      </w:r>
      <w:r w:rsidRPr="00F65D07">
        <w:t xml:space="preserve"> term period. In spring term this was 1.0%, a decrease from 1.6% in autumn 2021</w:t>
      </w:r>
    </w:p>
    <w:p w14:paraId="6ECB29A3" w14:textId="77777777" w:rsidR="0090430F" w:rsidRDefault="0090430F" w:rsidP="0090430F">
      <w:pPr>
        <w:ind w:left="360"/>
      </w:pPr>
      <w:r w:rsidRPr="0055534D">
        <w:rPr>
          <w:b/>
          <w:bCs/>
        </w:rPr>
        <w:t>When combining absence with not attending due to COVID circumstances</w:t>
      </w:r>
      <w:r w:rsidRPr="0055534D">
        <w:t>, we see a combined rate of 8.7% across the two</w:t>
      </w:r>
      <w:r>
        <w:t>-</w:t>
      </w:r>
      <w:r w:rsidRPr="0055534D">
        <w:t xml:space="preserve"> term period. In spring term, this combined rate was 8.9%, an increase from 8.5% in autumn 2021</w:t>
      </w:r>
    </w:p>
    <w:p w14:paraId="030943CF" w14:textId="77777777" w:rsidR="0090430F" w:rsidRDefault="0090430F" w:rsidP="0090430F">
      <w:pPr>
        <w:ind w:left="360"/>
      </w:pPr>
      <w:r w:rsidRPr="0055534D">
        <w:rPr>
          <w:b/>
          <w:bCs/>
        </w:rPr>
        <w:t>Absence rates follow a similar pattern across school types</w:t>
      </w:r>
      <w:r>
        <w:t>. Overall absence:</w:t>
      </w:r>
    </w:p>
    <w:p w14:paraId="157B1DC4" w14:textId="77777777" w:rsidR="0090430F" w:rsidRDefault="0090430F">
      <w:pPr>
        <w:pStyle w:val="ListParagraph"/>
        <w:numPr>
          <w:ilvl w:val="0"/>
          <w:numId w:val="3"/>
        </w:numPr>
        <w:spacing w:after="160" w:afterAutospacing="0" w:line="259" w:lineRule="auto"/>
      </w:pPr>
      <w:r>
        <w:t xml:space="preserve">increased in </w:t>
      </w:r>
      <w:r w:rsidRPr="0055534D">
        <w:rPr>
          <w:b/>
          <w:bCs/>
        </w:rPr>
        <w:t>primary</w:t>
      </w:r>
      <w:r>
        <w:t xml:space="preserve"> schools from 5.7% in Autumn 2021 to 6.7% in Spring 2022</w:t>
      </w:r>
    </w:p>
    <w:p w14:paraId="2F319936" w14:textId="77777777" w:rsidR="0090430F" w:rsidRDefault="0090430F">
      <w:pPr>
        <w:pStyle w:val="ListParagraph"/>
        <w:numPr>
          <w:ilvl w:val="0"/>
          <w:numId w:val="2"/>
        </w:numPr>
        <w:spacing w:after="160" w:afterAutospacing="0" w:line="259" w:lineRule="auto"/>
      </w:pPr>
      <w:r>
        <w:t xml:space="preserve">increased in </w:t>
      </w:r>
      <w:r w:rsidRPr="0055534D">
        <w:rPr>
          <w:b/>
          <w:bCs/>
        </w:rPr>
        <w:t xml:space="preserve">secondary </w:t>
      </w:r>
      <w:r>
        <w:t>schools from 8.2% to 9.2%</w:t>
      </w:r>
    </w:p>
    <w:p w14:paraId="1CCF6F28" w14:textId="77777777" w:rsidR="0090430F" w:rsidRDefault="0090430F">
      <w:pPr>
        <w:pStyle w:val="ListParagraph"/>
        <w:numPr>
          <w:ilvl w:val="0"/>
          <w:numId w:val="2"/>
        </w:numPr>
        <w:spacing w:after="160" w:afterAutospacing="0" w:line="259" w:lineRule="auto"/>
      </w:pPr>
      <w:r>
        <w:t xml:space="preserve">increased in </w:t>
      </w:r>
      <w:r w:rsidRPr="0055534D">
        <w:rPr>
          <w:b/>
          <w:bCs/>
        </w:rPr>
        <w:t>special</w:t>
      </w:r>
      <w:r>
        <w:t xml:space="preserve"> schools from 12.7% to 13.6%</w:t>
      </w:r>
    </w:p>
    <w:p w14:paraId="5CE81065" w14:textId="77777777" w:rsidR="0090430F" w:rsidRDefault="0090430F" w:rsidP="0090430F">
      <w:pPr>
        <w:rPr>
          <w:b/>
          <w:bCs/>
        </w:rPr>
      </w:pPr>
      <w:r w:rsidRPr="008E2FB4">
        <w:rPr>
          <w:b/>
          <w:bCs/>
        </w:rPr>
        <w:t>Persistent absence</w:t>
      </w:r>
    </w:p>
    <w:p w14:paraId="4DC9DBBE" w14:textId="77777777" w:rsidR="0090430F" w:rsidRPr="008E2FB4" w:rsidRDefault="0090430F" w:rsidP="0090430F">
      <w:pPr>
        <w:rPr>
          <w:b/>
          <w:bCs/>
        </w:rPr>
      </w:pPr>
      <w:r>
        <w:t>P</w:t>
      </w:r>
      <w:r w:rsidRPr="00E37AC8">
        <w:t>upils are identified as a persistent absentee if they miss 10% or more of their possible sessions. This includes absence with a positive COVID case. 10% of sessions translates to around 7 days of absence across the autumn term</w:t>
      </w:r>
      <w:r w:rsidRPr="00E37AC8">
        <w:rPr>
          <w:b/>
          <w:bCs/>
        </w:rPr>
        <w:t>.</w:t>
      </w:r>
    </w:p>
    <w:p w14:paraId="53FFD4D3" w14:textId="77777777" w:rsidR="0090430F" w:rsidRDefault="0090430F" w:rsidP="0090430F">
      <w:r w:rsidRPr="00E51018">
        <w:lastRenderedPageBreak/>
        <w:t>Over the autumn and spring term combined, the persistent absence rate is 22.3%</w:t>
      </w:r>
      <w:r>
        <w:t xml:space="preserve">. </w:t>
      </w:r>
      <w:r w:rsidRPr="00F53E4B">
        <w:t>The persistent absence rate for autumn term alone was 23.5%, and for spring term 2022 was 27.2%.</w:t>
      </w:r>
      <w:r>
        <w:t xml:space="preserve"> </w:t>
      </w:r>
      <w:r w:rsidRPr="00AB4668">
        <w:t>The increase compared to previous years, is driven by increases in illness absence (including positive COVID cases), with 11.0% of pupils missing 10% or more sessions due to illness absence alone.</w:t>
      </w:r>
      <w:r>
        <w:t xml:space="preserve"> </w:t>
      </w:r>
      <w:r w:rsidRPr="008E2FB4">
        <w:t>Further, 110,000 pupils missed 50% or more sessions across the autumn and spring terms (1.5% of all pupils). This compares to 57,000 pre-pandemic (2018/19).</w:t>
      </w:r>
    </w:p>
    <w:p w14:paraId="18948376" w14:textId="77777777" w:rsidR="0090430F" w:rsidRDefault="0090430F" w:rsidP="0090430F">
      <w:r w:rsidRPr="0055534D">
        <w:rPr>
          <w:b/>
          <w:bCs/>
        </w:rPr>
        <w:t>The rate of persistent absence varies across school types</w:t>
      </w:r>
      <w:r>
        <w:t>. These figures include absence due to illness (including positive COVID cases).</w:t>
      </w:r>
    </w:p>
    <w:p w14:paraId="1484136C" w14:textId="77777777" w:rsidR="0090430F" w:rsidRDefault="0090430F" w:rsidP="0090430F">
      <w:r>
        <w:t xml:space="preserve">The rate of persistent absentees </w:t>
      </w:r>
      <w:r w:rsidRPr="0055534D">
        <w:rPr>
          <w:b/>
          <w:bCs/>
        </w:rPr>
        <w:t>missing 10%</w:t>
      </w:r>
      <w:r>
        <w:t xml:space="preserve"> or more differs across all school types </w:t>
      </w:r>
    </w:p>
    <w:p w14:paraId="29E9C9A3" w14:textId="77777777" w:rsidR="0090430F" w:rsidRDefault="0090430F">
      <w:pPr>
        <w:pStyle w:val="ListParagraph"/>
        <w:numPr>
          <w:ilvl w:val="0"/>
          <w:numId w:val="5"/>
        </w:numPr>
        <w:spacing w:after="160" w:afterAutospacing="0" w:line="259" w:lineRule="auto"/>
      </w:pPr>
      <w:r>
        <w:t xml:space="preserve">in </w:t>
      </w:r>
      <w:r w:rsidRPr="0055534D">
        <w:rPr>
          <w:b/>
          <w:bCs/>
        </w:rPr>
        <w:t xml:space="preserve">primary </w:t>
      </w:r>
      <w:r>
        <w:t>schools - 18.2% in autumn and spring terms 2021/22</w:t>
      </w:r>
    </w:p>
    <w:p w14:paraId="08E93CEC" w14:textId="77777777" w:rsidR="0090430F" w:rsidRDefault="0090430F">
      <w:pPr>
        <w:pStyle w:val="ListParagraph"/>
        <w:numPr>
          <w:ilvl w:val="0"/>
          <w:numId w:val="4"/>
        </w:numPr>
        <w:spacing w:after="160" w:afterAutospacing="0" w:line="259" w:lineRule="auto"/>
      </w:pPr>
      <w:r>
        <w:t xml:space="preserve">in </w:t>
      </w:r>
      <w:r w:rsidRPr="0055534D">
        <w:rPr>
          <w:b/>
          <w:bCs/>
        </w:rPr>
        <w:t>secondary</w:t>
      </w:r>
      <w:r>
        <w:t xml:space="preserve"> schools - 26.7% in autumn and spring terms 2021/22</w:t>
      </w:r>
    </w:p>
    <w:p w14:paraId="76D2E0E1" w14:textId="77777777" w:rsidR="0090430F" w:rsidRDefault="0090430F">
      <w:pPr>
        <w:pStyle w:val="ListParagraph"/>
        <w:numPr>
          <w:ilvl w:val="0"/>
          <w:numId w:val="4"/>
        </w:numPr>
        <w:spacing w:after="160" w:afterAutospacing="0" w:line="259" w:lineRule="auto"/>
      </w:pPr>
      <w:r>
        <w:t xml:space="preserve">in </w:t>
      </w:r>
      <w:r w:rsidRPr="0055534D">
        <w:rPr>
          <w:b/>
          <w:bCs/>
        </w:rPr>
        <w:t xml:space="preserve">special </w:t>
      </w:r>
      <w:r>
        <w:t>schools - 40.2% in autumn and spring terms 2021/22</w:t>
      </w:r>
    </w:p>
    <w:p w14:paraId="130A0BF5" w14:textId="77777777" w:rsidR="0090430F" w:rsidRDefault="0090430F" w:rsidP="0090430F">
      <w:r>
        <w:t xml:space="preserve">while the rate of pupils </w:t>
      </w:r>
      <w:r w:rsidRPr="0055534D">
        <w:rPr>
          <w:b/>
          <w:bCs/>
        </w:rPr>
        <w:t>missing 50%</w:t>
      </w:r>
      <w:r>
        <w:t xml:space="preserve"> or more was</w:t>
      </w:r>
    </w:p>
    <w:p w14:paraId="03795EFE" w14:textId="77777777" w:rsidR="0090430F" w:rsidRDefault="0090430F">
      <w:pPr>
        <w:pStyle w:val="ListParagraph"/>
        <w:numPr>
          <w:ilvl w:val="0"/>
          <w:numId w:val="7"/>
        </w:numPr>
        <w:spacing w:after="160" w:afterAutospacing="0" w:line="259" w:lineRule="auto"/>
      </w:pPr>
      <w:r>
        <w:t xml:space="preserve">in </w:t>
      </w:r>
      <w:r w:rsidRPr="0055534D">
        <w:rPr>
          <w:b/>
          <w:bCs/>
        </w:rPr>
        <w:t>primary</w:t>
      </w:r>
      <w:r>
        <w:t xml:space="preserve"> schools - 0.6% in autumn and spring terms 2021/22</w:t>
      </w:r>
    </w:p>
    <w:p w14:paraId="623DF776" w14:textId="77777777" w:rsidR="0090430F" w:rsidRDefault="0090430F">
      <w:pPr>
        <w:pStyle w:val="ListParagraph"/>
        <w:numPr>
          <w:ilvl w:val="0"/>
          <w:numId w:val="6"/>
        </w:numPr>
        <w:spacing w:after="160" w:afterAutospacing="0" w:line="259" w:lineRule="auto"/>
      </w:pPr>
      <w:r>
        <w:t xml:space="preserve">in </w:t>
      </w:r>
      <w:r w:rsidRPr="0055534D">
        <w:rPr>
          <w:b/>
          <w:bCs/>
        </w:rPr>
        <w:t xml:space="preserve">secondary </w:t>
      </w:r>
      <w:r>
        <w:t>schools - 2.5% in autumn and spring terms 2021/22</w:t>
      </w:r>
    </w:p>
    <w:p w14:paraId="7E4B44C0" w14:textId="77777777" w:rsidR="0090430F" w:rsidRDefault="0090430F">
      <w:pPr>
        <w:pStyle w:val="ListParagraph"/>
        <w:numPr>
          <w:ilvl w:val="0"/>
          <w:numId w:val="6"/>
        </w:numPr>
        <w:spacing w:after="160" w:afterAutospacing="0" w:line="259" w:lineRule="auto"/>
      </w:pPr>
      <w:r>
        <w:t xml:space="preserve">in </w:t>
      </w:r>
      <w:r w:rsidRPr="0055534D">
        <w:rPr>
          <w:b/>
          <w:bCs/>
        </w:rPr>
        <w:t>specia</w:t>
      </w:r>
      <w:r>
        <w:t>l schools - 5.6% in autumn and spring terms 2021/22</w:t>
      </w:r>
    </w:p>
    <w:p w14:paraId="2899869E" w14:textId="77777777" w:rsidR="0090430F" w:rsidRDefault="0090430F" w:rsidP="0090430F"/>
    <w:p w14:paraId="24CE2175" w14:textId="77777777" w:rsidR="0090430F" w:rsidRPr="00F13E42" w:rsidRDefault="0090430F" w:rsidP="0090430F">
      <w:pPr>
        <w:rPr>
          <w:b/>
          <w:bCs/>
        </w:rPr>
      </w:pPr>
      <w:r w:rsidRPr="00F13E42">
        <w:rPr>
          <w:b/>
          <w:bCs/>
        </w:rPr>
        <w:t xml:space="preserve">Free school meals (FSM) </w:t>
      </w:r>
    </w:p>
    <w:p w14:paraId="12E658FA" w14:textId="77777777" w:rsidR="0090430F" w:rsidRDefault="0090430F" w:rsidP="0090430F">
      <w:r>
        <w:t xml:space="preserve">The overall absence rate for pupils who are eligible for free school meals was 10.4% across autumn and spring terms 2021/22, up from 7.2% in the same period in the previous year. This compares to 6.4% for those pupils who were not eligible for free school meals. Further to sessions recorded as absence, for pupils who were eligible for free school meals, 1.6% of sessions were recorded as not attending due to COVID circumstances compared to 1.3% of sessions for pupils who were not </w:t>
      </w:r>
      <w:r>
        <w:lastRenderedPageBreak/>
        <w:t xml:space="preserve">eligible. 35.4% of pupils who were eligible for free school meals were persistently absent across the autumn and spring terms 2021/22 combined, compared to 17.9% of pupils who were not eligible. </w:t>
      </w:r>
    </w:p>
    <w:p w14:paraId="29F02FA3" w14:textId="77777777" w:rsidR="0090430F" w:rsidRDefault="0090430F" w:rsidP="0090430F"/>
    <w:p w14:paraId="7E603842" w14:textId="77777777" w:rsidR="0090430F" w:rsidRDefault="0090430F" w:rsidP="0090430F">
      <w:r w:rsidRPr="00506D7F">
        <w:rPr>
          <w:b/>
          <w:bCs/>
        </w:rPr>
        <w:t>For statistics on absence in previous years</w:t>
      </w:r>
      <w:r>
        <w:t xml:space="preserve">, see </w:t>
      </w:r>
      <w:hyperlink r:id="rId11" w:history="1">
        <w:r w:rsidRPr="00663AE1">
          <w:rPr>
            <w:rStyle w:val="Hyperlink"/>
          </w:rPr>
          <w:t>https://www.gov.uk/government/collections/statistics-pupil-absence</w:t>
        </w:r>
      </w:hyperlink>
      <w:r>
        <w:t xml:space="preserve">  </w:t>
      </w:r>
    </w:p>
    <w:p w14:paraId="4A13EF42" w14:textId="77777777" w:rsidR="0090430F" w:rsidRDefault="0090430F" w:rsidP="007F516A">
      <w:pPr>
        <w:ind w:left="0"/>
        <w:rPr>
          <w:rStyle w:val="Hyperlink"/>
          <w:b/>
          <w:color w:val="00B0F0"/>
          <w:u w:val="none"/>
        </w:rPr>
      </w:pPr>
      <w:r>
        <w:rPr>
          <w:rStyle w:val="Hyperlink"/>
          <w:b/>
          <w:color w:val="00B0F0"/>
          <w:u w:val="none"/>
        </w:rPr>
        <w:t xml:space="preserve"> </w:t>
      </w:r>
    </w:p>
    <w:p w14:paraId="21B70794" w14:textId="32EE82AE" w:rsidR="0090430F" w:rsidRDefault="0090430F" w:rsidP="007F516A">
      <w:pPr>
        <w:ind w:left="0"/>
        <w:rPr>
          <w:rStyle w:val="Hyperlink"/>
          <w:b/>
          <w:color w:val="00B0F0"/>
          <w:u w:val="none"/>
        </w:rPr>
      </w:pPr>
      <w:r>
        <w:rPr>
          <w:rStyle w:val="Hyperlink"/>
          <w:b/>
          <w:color w:val="00B0F0"/>
          <w:u w:val="none"/>
        </w:rPr>
        <w:t>Student destinations</w:t>
      </w:r>
    </w:p>
    <w:p w14:paraId="4EF2A2AA" w14:textId="77777777" w:rsidR="00B74ADB" w:rsidRDefault="00B74ADB">
      <w:pPr>
        <w:pStyle w:val="ListParagraph"/>
        <w:numPr>
          <w:ilvl w:val="0"/>
          <w:numId w:val="8"/>
        </w:numPr>
        <w:spacing w:after="160" w:afterAutospacing="0" w:line="259" w:lineRule="auto"/>
      </w:pPr>
      <w:r>
        <w:t>The DfE has issued “</w:t>
      </w:r>
      <w:r w:rsidRPr="008C165C">
        <w:rPr>
          <w:b/>
          <w:bCs/>
        </w:rPr>
        <w:t>Destinations of key stage 4 and 5 students: 2021</w:t>
      </w:r>
      <w:r>
        <w:t xml:space="preserve">.Data on key stage 4 (KS4) and 16 to 18 (KS5) students going into apprenticeship, education and employment destinations”. See </w:t>
      </w:r>
      <w:hyperlink r:id="rId12" w:history="1">
        <w:r w:rsidRPr="00663AE1">
          <w:rPr>
            <w:rStyle w:val="Hyperlink"/>
          </w:rPr>
          <w:t>https://www.gov.uk/government/statistics/destinations-of-key-stage-4-and-5-students-2021</w:t>
        </w:r>
      </w:hyperlink>
      <w:r>
        <w:t xml:space="preserve">  </w:t>
      </w:r>
    </w:p>
    <w:p w14:paraId="4D572D60" w14:textId="77777777" w:rsidR="00B74ADB" w:rsidRDefault="00B74ADB">
      <w:pPr>
        <w:pStyle w:val="ListParagraph"/>
        <w:numPr>
          <w:ilvl w:val="1"/>
          <w:numId w:val="8"/>
        </w:numPr>
        <w:spacing w:after="160" w:afterAutospacing="0" w:line="259" w:lineRule="auto"/>
      </w:pPr>
      <w:r w:rsidRPr="008C165C">
        <w:rPr>
          <w:b/>
          <w:bCs/>
        </w:rPr>
        <w:t xml:space="preserve">KS4 </w:t>
      </w:r>
      <w:r>
        <w:t>This is about the destinations for pupils from state funded mainstream schools who left key stage 4 in 2019/20 and follows their destinations in 2020/21.</w:t>
      </w:r>
    </w:p>
    <w:p w14:paraId="24748FA6" w14:textId="77777777" w:rsidR="00B74ADB" w:rsidRDefault="00B74ADB">
      <w:pPr>
        <w:pStyle w:val="ListParagraph"/>
        <w:numPr>
          <w:ilvl w:val="2"/>
          <w:numId w:val="8"/>
        </w:numPr>
        <w:spacing w:after="160" w:afterAutospacing="0" w:line="259" w:lineRule="auto"/>
      </w:pPr>
      <w:r>
        <w:t>93.8% of pupils were in a sustained education, apprenticeship or employment destination, broadly unchanged from the previous year</w:t>
      </w:r>
    </w:p>
    <w:p w14:paraId="26B789A1" w14:textId="77777777" w:rsidR="00B74ADB" w:rsidRDefault="00B74ADB">
      <w:pPr>
        <w:pStyle w:val="ListParagraph"/>
        <w:numPr>
          <w:ilvl w:val="2"/>
          <w:numId w:val="8"/>
        </w:numPr>
        <w:spacing w:after="160" w:afterAutospacing="0" w:line="259" w:lineRule="auto"/>
      </w:pPr>
      <w:r>
        <w:t xml:space="preserve">89.0% of pupils were in sustained education, this shows a 1.8 percentage point increase since last year. </w:t>
      </w:r>
    </w:p>
    <w:p w14:paraId="6A27B369" w14:textId="77777777" w:rsidR="00B74ADB" w:rsidRDefault="00B74ADB">
      <w:pPr>
        <w:pStyle w:val="ListParagraph"/>
        <w:numPr>
          <w:ilvl w:val="2"/>
          <w:numId w:val="8"/>
        </w:numPr>
        <w:spacing w:after="160" w:afterAutospacing="0" w:line="259" w:lineRule="auto"/>
      </w:pPr>
      <w:r>
        <w:t>4.9% of pupils did not have a recorded sustained destination in the year after key stage 4</w:t>
      </w:r>
    </w:p>
    <w:p w14:paraId="101ABFC1" w14:textId="77777777" w:rsidR="00B74ADB" w:rsidRDefault="00B74ADB">
      <w:pPr>
        <w:pStyle w:val="ListParagraph"/>
        <w:numPr>
          <w:ilvl w:val="2"/>
          <w:numId w:val="8"/>
        </w:numPr>
        <w:spacing w:after="160" w:afterAutospacing="0" w:line="259" w:lineRule="auto"/>
      </w:pPr>
      <w:r>
        <w:t>Only 1.3% of year 11 leavers were not captured in any of the data sources</w:t>
      </w:r>
    </w:p>
    <w:p w14:paraId="6D3B0536" w14:textId="77777777" w:rsidR="00B74ADB" w:rsidRPr="008C165C" w:rsidRDefault="00B74ADB">
      <w:pPr>
        <w:pStyle w:val="ListParagraph"/>
        <w:numPr>
          <w:ilvl w:val="1"/>
          <w:numId w:val="8"/>
        </w:numPr>
        <w:spacing w:after="160" w:afterAutospacing="0" w:line="259" w:lineRule="auto"/>
        <w:rPr>
          <w:b/>
          <w:bCs/>
        </w:rPr>
      </w:pPr>
      <w:r w:rsidRPr="008C165C">
        <w:rPr>
          <w:b/>
          <w:bCs/>
        </w:rPr>
        <w:t>16-18 students</w:t>
      </w:r>
    </w:p>
    <w:p w14:paraId="0C43C801" w14:textId="77777777" w:rsidR="00B74ADB" w:rsidRDefault="00B74ADB" w:rsidP="00B74ADB">
      <w:pPr>
        <w:ind w:left="1080"/>
      </w:pPr>
      <w:r w:rsidRPr="00AC11E6">
        <w:t>Overall sustained destination rate declined in 2020/21 with lower numbers going into apprenticeships and employment.</w:t>
      </w:r>
    </w:p>
    <w:p w14:paraId="1F5C8AAF" w14:textId="77777777" w:rsidR="00B74ADB" w:rsidRDefault="00B74ADB" w:rsidP="00B74ADB">
      <w:pPr>
        <w:ind w:left="1080"/>
      </w:pPr>
      <w:r>
        <w:t xml:space="preserve">The headline destination rate was 79.1% for students that were deemed to have reached the end of 16 to 18 study in 2020, this is 1.6 percentage points less when compared to the previous academic year. This cohort shows a higher rate of students continuing in education (51.9%) and lower rates of apprenticeship and employment destinations compared to previous years. The decreases in apprenticeship and employment destinations are likely due to the disruption caused </w:t>
      </w:r>
      <w:r>
        <w:lastRenderedPageBreak/>
        <w:t>by the coronavirus (COVID-19) pandemic. The increase in the proportion of students progressing to further education is mainly due to a change in the underlying cohort.</w:t>
      </w:r>
    </w:p>
    <w:p w14:paraId="3C411784" w14:textId="77777777" w:rsidR="00B74ADB" w:rsidRDefault="00B74ADB" w:rsidP="00B74ADB">
      <w:pPr>
        <w:ind w:left="1080"/>
      </w:pPr>
      <w:r>
        <w:t>The rise in overall education destinations was mainly driven by an increase in further education. The number of students going to higher education was also up.</w:t>
      </w:r>
    </w:p>
    <w:p w14:paraId="283008C8" w14:textId="77777777" w:rsidR="00B74ADB" w:rsidRDefault="00B74ADB" w:rsidP="00B74ADB">
      <w:pPr>
        <w:ind w:left="1080"/>
      </w:pPr>
      <w:r>
        <w:t>Further education destinations went up by 3.4 percentage points compared to the previous year. This is in large part due to a change in the underlying cohort of 16 to 18 students, with more students that stayed at their 16 to 18 provider for a third year of study included in the 2020 cohort. The rate of progression to higher education was also higher, up by 0.2 percentage points.</w:t>
      </w:r>
    </w:p>
    <w:p w14:paraId="55CDB4BA" w14:textId="77777777" w:rsidR="00B74ADB" w:rsidRDefault="00B74ADB" w:rsidP="00B74ADB">
      <w:pPr>
        <w:ind w:left="1080"/>
      </w:pPr>
      <w:r>
        <w:t>The proportion of students that progressed to a sustained level 4 or higher destination was 66.0%, very similar to the previous year's cohort's progression rate of 66.2%. Of the 66.0% their destinations were as follows:</w:t>
      </w:r>
    </w:p>
    <w:p w14:paraId="4F9B15C4" w14:textId="77777777" w:rsidR="00B74ADB" w:rsidRDefault="00B74ADB">
      <w:pPr>
        <w:pStyle w:val="ListParagraph"/>
        <w:numPr>
          <w:ilvl w:val="0"/>
          <w:numId w:val="10"/>
        </w:numPr>
        <w:spacing w:after="160" w:afterAutospacing="0" w:line="259" w:lineRule="auto"/>
      </w:pPr>
      <w:r>
        <w:t>61.5% were studying for a degree (a level 6 qualification)</w:t>
      </w:r>
    </w:p>
    <w:p w14:paraId="0B9EE403" w14:textId="77777777" w:rsidR="00B74ADB" w:rsidRDefault="00B74ADB">
      <w:pPr>
        <w:pStyle w:val="ListParagraph"/>
        <w:numPr>
          <w:ilvl w:val="0"/>
          <w:numId w:val="9"/>
        </w:numPr>
        <w:spacing w:after="160" w:afterAutospacing="0" w:line="259" w:lineRule="auto"/>
      </w:pPr>
      <w:r>
        <w:t>1.7% were participating in an apprenticeship at level 4 or higher</w:t>
      </w:r>
    </w:p>
    <w:p w14:paraId="699DF877" w14:textId="77777777" w:rsidR="00B74ADB" w:rsidRDefault="00B74ADB">
      <w:pPr>
        <w:pStyle w:val="ListParagraph"/>
        <w:numPr>
          <w:ilvl w:val="0"/>
          <w:numId w:val="9"/>
        </w:numPr>
        <w:spacing w:after="160" w:afterAutospacing="0" w:line="259" w:lineRule="auto"/>
      </w:pPr>
      <w:r>
        <w:t>2.8% were studying qualifications at level 4 or 5</w:t>
      </w:r>
    </w:p>
    <w:p w14:paraId="6C51E1F7" w14:textId="77777777" w:rsidR="00B74ADB" w:rsidRDefault="00B74ADB" w:rsidP="00B74ADB"/>
    <w:p w14:paraId="1C56C0C9" w14:textId="77777777" w:rsidR="00B74ADB" w:rsidRDefault="00B74ADB" w:rsidP="00B74ADB">
      <w:pPr>
        <w:ind w:left="720"/>
      </w:pPr>
      <w:r w:rsidRPr="00506D7F">
        <w:rPr>
          <w:b/>
          <w:bCs/>
        </w:rPr>
        <w:t>For destinations of KS4 and KS5 students in previous years</w:t>
      </w:r>
      <w:r>
        <w:t xml:space="preserve">, see </w:t>
      </w:r>
      <w:hyperlink r:id="rId13" w:history="1">
        <w:r w:rsidRPr="00663AE1">
          <w:rPr>
            <w:rStyle w:val="Hyperlink"/>
          </w:rPr>
          <w:t>https://www.gov.uk/government/collections/statistics-destinations</w:t>
        </w:r>
      </w:hyperlink>
      <w:r>
        <w:t xml:space="preserve"> </w:t>
      </w:r>
    </w:p>
    <w:p w14:paraId="03181BE4" w14:textId="608957E2" w:rsidR="00B74ADB" w:rsidRDefault="00B74ADB" w:rsidP="007F516A">
      <w:pPr>
        <w:ind w:left="0"/>
        <w:rPr>
          <w:rStyle w:val="Hyperlink"/>
          <w:b/>
          <w:color w:val="00B0F0"/>
          <w:u w:val="none"/>
        </w:rPr>
      </w:pPr>
    </w:p>
    <w:p w14:paraId="0FFD575D" w14:textId="7587A932" w:rsidR="00166AF0" w:rsidRDefault="00166AF0" w:rsidP="007F516A">
      <w:pPr>
        <w:ind w:left="0"/>
        <w:rPr>
          <w:rStyle w:val="Hyperlink"/>
          <w:b/>
          <w:color w:val="00B0F0"/>
          <w:u w:val="none"/>
        </w:rPr>
      </w:pPr>
      <w:r>
        <w:rPr>
          <w:rStyle w:val="Hyperlink"/>
          <w:b/>
          <w:color w:val="00B0F0"/>
          <w:u w:val="none"/>
        </w:rPr>
        <w:t>Performance data</w:t>
      </w:r>
    </w:p>
    <w:p w14:paraId="3E1F1179" w14:textId="77777777" w:rsidR="00FA38FC" w:rsidRDefault="00FA38FC">
      <w:pPr>
        <w:pStyle w:val="ListParagraph"/>
        <w:numPr>
          <w:ilvl w:val="0"/>
          <w:numId w:val="8"/>
        </w:numPr>
        <w:spacing w:after="160" w:afterAutospacing="0" w:line="259" w:lineRule="auto"/>
        <w:rPr>
          <w:b/>
          <w:bCs/>
        </w:rPr>
      </w:pPr>
      <w:r w:rsidRPr="007076CB">
        <w:t>The DfE has issued</w:t>
      </w:r>
      <w:r>
        <w:rPr>
          <w:b/>
          <w:bCs/>
        </w:rPr>
        <w:t xml:space="preserve"> “</w:t>
      </w:r>
      <w:r w:rsidRPr="007076CB">
        <w:rPr>
          <w:b/>
          <w:bCs/>
        </w:rPr>
        <w:t>Secondary school performance data in England: 2021 to 2022</w:t>
      </w:r>
      <w:r>
        <w:rPr>
          <w:b/>
          <w:bCs/>
        </w:rPr>
        <w:t xml:space="preserve">. </w:t>
      </w:r>
    </w:p>
    <w:p w14:paraId="48EE2234" w14:textId="77777777" w:rsidR="00FA38FC" w:rsidRPr="006561D8" w:rsidRDefault="00FA38FC" w:rsidP="00FA38FC">
      <w:pPr>
        <w:ind w:left="360"/>
      </w:pPr>
      <w:r w:rsidRPr="006561D8">
        <w:t>The secondary school performance data (based on provisional data) shows:</w:t>
      </w:r>
    </w:p>
    <w:p w14:paraId="72A2F729" w14:textId="77777777" w:rsidR="00FA38FC" w:rsidRPr="006561D8" w:rsidRDefault="00FA38FC">
      <w:pPr>
        <w:pStyle w:val="ListParagraph"/>
        <w:numPr>
          <w:ilvl w:val="1"/>
          <w:numId w:val="8"/>
        </w:numPr>
        <w:spacing w:after="160" w:afterAutospacing="0" w:line="259" w:lineRule="auto"/>
      </w:pPr>
      <w:r w:rsidRPr="006561D8">
        <w:lastRenderedPageBreak/>
        <w:t>attainment results for pupils at the end of key stage 4</w:t>
      </w:r>
    </w:p>
    <w:p w14:paraId="70F0CAAA" w14:textId="77777777" w:rsidR="00FA38FC" w:rsidRPr="006561D8" w:rsidRDefault="00FA38FC">
      <w:pPr>
        <w:pStyle w:val="ListParagraph"/>
        <w:numPr>
          <w:ilvl w:val="1"/>
          <w:numId w:val="8"/>
        </w:numPr>
        <w:spacing w:after="160" w:afterAutospacing="0" w:line="259" w:lineRule="auto"/>
      </w:pPr>
      <w:r w:rsidRPr="006561D8">
        <w:t>the progress made by pupils between the end of primary school to the end of secondary school</w:t>
      </w:r>
    </w:p>
    <w:p w14:paraId="64E47EE2" w14:textId="77777777" w:rsidR="00FA38FC" w:rsidRDefault="00FA38FC" w:rsidP="00FA38FC">
      <w:pPr>
        <w:ind w:left="360"/>
        <w:rPr>
          <w:b/>
          <w:bCs/>
        </w:rPr>
      </w:pPr>
    </w:p>
    <w:p w14:paraId="609BD5D0" w14:textId="0386C948" w:rsidR="00FA38FC" w:rsidRDefault="00FA38FC" w:rsidP="009C6F94">
      <w:pPr>
        <w:ind w:left="0"/>
      </w:pPr>
      <w:r w:rsidRPr="009C6F94">
        <w:rPr>
          <w:b/>
          <w:bCs/>
        </w:rPr>
        <w:t>To search for schools, colleges and multi-academy trusts in England and check their performance.</w:t>
      </w:r>
      <w:r>
        <w:t xml:space="preserve">, see </w:t>
      </w:r>
      <w:hyperlink r:id="rId14" w:history="1">
        <w:r w:rsidRPr="00663AE1">
          <w:rPr>
            <w:rStyle w:val="Hyperlink"/>
          </w:rPr>
          <w:t>https://www.find-school-performance-data.service.gov.uk/</w:t>
        </w:r>
      </w:hyperlink>
      <w:r>
        <w:t xml:space="preserve"> </w:t>
      </w:r>
    </w:p>
    <w:p w14:paraId="556688B8" w14:textId="77777777" w:rsidR="00FA38FC" w:rsidRDefault="00FA38FC" w:rsidP="00FA38FC"/>
    <w:p w14:paraId="5997D3DB" w14:textId="77777777" w:rsidR="00FA38FC" w:rsidRDefault="00FA38FC" w:rsidP="00FA38FC"/>
    <w:p w14:paraId="7072E78F" w14:textId="7E31797F" w:rsidR="00166AF0" w:rsidRDefault="00FA38FC" w:rsidP="00FA38FC">
      <w:pPr>
        <w:ind w:left="0"/>
        <w:rPr>
          <w:rStyle w:val="Hyperlink"/>
        </w:rPr>
      </w:pPr>
      <w:r>
        <w:t xml:space="preserve">For </w:t>
      </w:r>
      <w:r w:rsidRPr="00506D7F">
        <w:rPr>
          <w:b/>
          <w:bCs/>
        </w:rPr>
        <w:t>collections of KS2 and KS4 performance tables up to 2019</w:t>
      </w:r>
      <w:r>
        <w:t xml:space="preserve">, see </w:t>
      </w:r>
      <w:hyperlink r:id="rId15" w:history="1">
        <w:r w:rsidRPr="00663AE1">
          <w:rPr>
            <w:rStyle w:val="Hyperlink"/>
          </w:rPr>
          <w:t>https://www.gov.uk/government/collections/statistics-performance-tables</w:t>
        </w:r>
      </w:hyperlink>
    </w:p>
    <w:p w14:paraId="41FC6D77" w14:textId="148B4EBB" w:rsidR="00FA38FC" w:rsidRDefault="00FA38FC" w:rsidP="00FA38FC">
      <w:pPr>
        <w:ind w:left="0"/>
        <w:rPr>
          <w:rStyle w:val="Hyperlink"/>
        </w:rPr>
      </w:pPr>
    </w:p>
    <w:p w14:paraId="3F582704" w14:textId="379AFB27" w:rsidR="00FA38FC" w:rsidRDefault="00FA38FC" w:rsidP="00FA38FC">
      <w:pPr>
        <w:ind w:left="0"/>
        <w:rPr>
          <w:rStyle w:val="Hyperlink"/>
          <w:b/>
          <w:bCs/>
          <w:color w:val="00B0F0"/>
          <w:u w:val="none"/>
        </w:rPr>
      </w:pPr>
      <w:r w:rsidRPr="00FA38FC">
        <w:rPr>
          <w:rStyle w:val="Hyperlink"/>
          <w:b/>
          <w:bCs/>
          <w:color w:val="00B0F0"/>
          <w:u w:val="none"/>
        </w:rPr>
        <w:t>GCSE results 2022</w:t>
      </w:r>
    </w:p>
    <w:p w14:paraId="0CB2A466" w14:textId="77777777" w:rsidR="00D074B5" w:rsidRPr="001C34CE" w:rsidRDefault="00D074B5">
      <w:pPr>
        <w:pStyle w:val="ListParagraph"/>
        <w:numPr>
          <w:ilvl w:val="0"/>
          <w:numId w:val="8"/>
        </w:numPr>
        <w:spacing w:after="160" w:afterAutospacing="0" w:line="259" w:lineRule="auto"/>
      </w:pPr>
      <w:r>
        <w:t>The DfE has issued “</w:t>
      </w:r>
      <w:r w:rsidRPr="001C34CE">
        <w:rPr>
          <w:b/>
          <w:bCs/>
        </w:rPr>
        <w:t>Key stage 4 performance 2022</w:t>
      </w:r>
      <w:r>
        <w:t xml:space="preserve">. Statistics on the achievements of young people at the end of key stage 4 in England, in the 2021 to 2022 academic year”. See </w:t>
      </w:r>
      <w:hyperlink r:id="rId16" w:history="1">
        <w:r w:rsidRPr="00663AE1">
          <w:rPr>
            <w:rStyle w:val="Hyperlink"/>
          </w:rPr>
          <w:t>https://www.gov.uk/government/statistics/key-stage-4-performance-2022</w:t>
        </w:r>
      </w:hyperlink>
      <w:r>
        <w:t xml:space="preserve">   </w:t>
      </w:r>
      <w:r w:rsidRPr="00FB69AD">
        <w:t>Unlike previous years, this provisional release will include pupil characteristic breakdowns such as by disadvantage status, free school meal status, special educational needs status and ethnicity</w:t>
      </w:r>
      <w:r w:rsidRPr="008955DD">
        <w:rPr>
          <w:b/>
          <w:bCs/>
        </w:rPr>
        <w:t xml:space="preserve">. </w:t>
      </w:r>
    </w:p>
    <w:p w14:paraId="3C59921B" w14:textId="77777777" w:rsidR="00D074B5" w:rsidRDefault="00D074B5" w:rsidP="00D074B5">
      <w:pPr>
        <w:ind w:left="360"/>
      </w:pPr>
      <w:r w:rsidRPr="001C34CE">
        <w:rPr>
          <w:b/>
          <w:bCs/>
        </w:rPr>
        <w:t>Latest headline data for pupils at the end of Key Stage 4 in 2021/22</w:t>
      </w:r>
    </w:p>
    <w:p w14:paraId="5346E05D" w14:textId="77777777" w:rsidR="00D074B5" w:rsidRDefault="00D074B5">
      <w:pPr>
        <w:pStyle w:val="ListParagraph"/>
        <w:numPr>
          <w:ilvl w:val="0"/>
          <w:numId w:val="11"/>
        </w:numPr>
        <w:spacing w:after="160" w:afterAutospacing="0" w:line="259" w:lineRule="auto"/>
      </w:pPr>
      <w:r>
        <w:t>38.7% of pupils were entered into the full EBacc. This is the same entry rate as 2020/21, but a decrease of 1.3 percentage points in comparison with the last full exam year of 2018/19 when 40.0% of pupils were entered into the full EBacc.</w:t>
      </w:r>
    </w:p>
    <w:p w14:paraId="611A1F5B" w14:textId="77777777" w:rsidR="00D074B5" w:rsidRDefault="00D074B5">
      <w:pPr>
        <w:pStyle w:val="ListParagraph"/>
        <w:numPr>
          <w:ilvl w:val="0"/>
          <w:numId w:val="11"/>
        </w:numPr>
        <w:spacing w:after="160" w:afterAutospacing="0" w:line="259" w:lineRule="auto"/>
      </w:pPr>
      <w:r>
        <w:t>49.6% of pupils achieved a grade 5 or higher in both English and maths. This is a decrease of 2.3 percentage points (from 51.9%) compared to 2020/21, and an increase of 6.4 percentage points (from 43.2%) in comparison with 2018/19.</w:t>
      </w:r>
    </w:p>
    <w:p w14:paraId="4231E284" w14:textId="77777777" w:rsidR="00D074B5" w:rsidRDefault="00D074B5">
      <w:pPr>
        <w:pStyle w:val="ListParagraph"/>
        <w:numPr>
          <w:ilvl w:val="0"/>
          <w:numId w:val="11"/>
        </w:numPr>
        <w:spacing w:after="160" w:afterAutospacing="0" w:line="259" w:lineRule="auto"/>
      </w:pPr>
      <w:r>
        <w:t xml:space="preserve">Average Attainment 8 has decreased compared with last year, and increased compared to 2019. The average Attainment 8 score decreased by 2.2 points between 2021 and 2022 from 50.9 to 48.7, and increased by 2.0 points from 46.7 in 2019. </w:t>
      </w:r>
    </w:p>
    <w:p w14:paraId="0ECBB07B" w14:textId="77777777" w:rsidR="00D074B5" w:rsidRDefault="00D074B5">
      <w:pPr>
        <w:pStyle w:val="ListParagraph"/>
        <w:numPr>
          <w:ilvl w:val="0"/>
          <w:numId w:val="11"/>
        </w:numPr>
        <w:spacing w:after="160" w:afterAutospacing="0" w:line="259" w:lineRule="auto"/>
      </w:pPr>
      <w:r>
        <w:t>EBacc APS also decreased compared with last year and increased compared with 2019, decreasing by 0.18 points from 4.45 to 4.27 between 2021 and 2022, and up by 0.2 points from 4.07 in 2019.</w:t>
      </w:r>
    </w:p>
    <w:p w14:paraId="373E1FF2" w14:textId="77777777" w:rsidR="00D074B5" w:rsidRDefault="00D074B5">
      <w:pPr>
        <w:pStyle w:val="ListParagraph"/>
        <w:numPr>
          <w:ilvl w:val="0"/>
          <w:numId w:val="11"/>
        </w:numPr>
        <w:spacing w:after="160" w:afterAutospacing="0" w:line="259" w:lineRule="auto"/>
      </w:pPr>
      <w:r>
        <w:t>The KS4 disadvantage gap index has widened compared to 2020/21, from 3.79 to 3.84. It is now at its highest level since 2011/12. Before the pandemic, the gap index had widened going from 3.66 to 3.7 between 2017 and 2019, before narrowing slightly in 2020 to 3.66 when CAGs were used to awarded grades.</w:t>
      </w:r>
    </w:p>
    <w:p w14:paraId="655C68C5" w14:textId="77777777" w:rsidR="00D074B5" w:rsidRPr="001C34CE" w:rsidRDefault="00D074B5" w:rsidP="00D074B5">
      <w:pPr>
        <w:rPr>
          <w:b/>
          <w:bCs/>
          <w:sz w:val="28"/>
          <w:szCs w:val="28"/>
        </w:rPr>
      </w:pPr>
      <w:r w:rsidRPr="001C34CE">
        <w:rPr>
          <w:b/>
          <w:bCs/>
          <w:sz w:val="28"/>
          <w:szCs w:val="28"/>
        </w:rPr>
        <w:t>The Appendix to this Update gives much more detailed results that schools should find useful</w:t>
      </w:r>
    </w:p>
    <w:p w14:paraId="252C2FF3" w14:textId="77777777" w:rsidR="00D074B5" w:rsidRDefault="00D074B5" w:rsidP="00D074B5"/>
    <w:p w14:paraId="2B3843B6" w14:textId="77777777" w:rsidR="00D074B5" w:rsidRDefault="00D074B5" w:rsidP="00D074B5">
      <w:r w:rsidRPr="006A4BC7">
        <w:rPr>
          <w:b/>
          <w:bCs/>
        </w:rPr>
        <w:t>For detailed GCSE results of the previous years</w:t>
      </w:r>
      <w:r>
        <w:t xml:space="preserve">, see </w:t>
      </w:r>
      <w:hyperlink r:id="rId17" w:history="1">
        <w:r w:rsidRPr="00663AE1">
          <w:rPr>
            <w:rStyle w:val="Hyperlink"/>
          </w:rPr>
          <w:t>https://www.gov.uk/government/collections/statistics-gcses-key-stage-4</w:t>
        </w:r>
      </w:hyperlink>
      <w:r>
        <w:t xml:space="preserve"> </w:t>
      </w:r>
    </w:p>
    <w:p w14:paraId="4FA1C941" w14:textId="6C6D9AA4" w:rsidR="00D074B5" w:rsidRDefault="00D074B5" w:rsidP="00FA38FC">
      <w:pPr>
        <w:ind w:left="0"/>
        <w:rPr>
          <w:rStyle w:val="Hyperlink"/>
          <w:b/>
          <w:bCs/>
          <w:color w:val="00B0F0"/>
          <w:u w:val="none"/>
        </w:rPr>
      </w:pPr>
    </w:p>
    <w:p w14:paraId="43D26689" w14:textId="75813455" w:rsidR="00D074B5" w:rsidRDefault="00D074B5" w:rsidP="00FA38FC">
      <w:pPr>
        <w:ind w:left="0"/>
        <w:rPr>
          <w:rStyle w:val="Hyperlink"/>
          <w:b/>
          <w:bCs/>
          <w:color w:val="00B0F0"/>
          <w:u w:val="none"/>
        </w:rPr>
      </w:pPr>
      <w:r>
        <w:rPr>
          <w:rStyle w:val="Hyperlink"/>
          <w:b/>
          <w:bCs/>
          <w:color w:val="00B0F0"/>
          <w:u w:val="none"/>
        </w:rPr>
        <w:t>Early years and primary</w:t>
      </w:r>
    </w:p>
    <w:p w14:paraId="32409FC4" w14:textId="77777777" w:rsidR="00867E34" w:rsidRDefault="00867E34">
      <w:pPr>
        <w:pStyle w:val="ListParagraph"/>
        <w:numPr>
          <w:ilvl w:val="0"/>
          <w:numId w:val="12"/>
        </w:numPr>
        <w:spacing w:after="160" w:afterAutospacing="0" w:line="259" w:lineRule="auto"/>
      </w:pPr>
      <w:r>
        <w:t xml:space="preserve">There are 5,272 pupils who are known to have been </w:t>
      </w:r>
      <w:r w:rsidRPr="005E4A4D">
        <w:rPr>
          <w:b/>
          <w:bCs/>
        </w:rPr>
        <w:t>assigned an incorrect grade after taking Sats in May</w:t>
      </w:r>
      <w:r>
        <w:t xml:space="preserve"> - 22 per cent more than in 2019, the last time the assessments took place. This equates to a 20 per cent increase in the proportion of pupils who had marks changed following a review, according to figures from the Standards and Testing Agency. </w:t>
      </w:r>
      <w:r w:rsidRPr="00DE0B56">
        <w:t>This year, 0.85 per cent of Year 6 Sats pupils had a mark change as a result of a marking review, up from 0.71 per cent in 2019.</w:t>
      </w:r>
    </w:p>
    <w:p w14:paraId="78C192D7" w14:textId="45A63F6F" w:rsidR="00D074B5" w:rsidRDefault="00D074B5" w:rsidP="00FA38FC">
      <w:pPr>
        <w:ind w:left="0"/>
        <w:rPr>
          <w:rStyle w:val="Hyperlink"/>
          <w:b/>
          <w:bCs/>
          <w:color w:val="00B0F0"/>
          <w:u w:val="none"/>
        </w:rPr>
      </w:pPr>
    </w:p>
    <w:p w14:paraId="40363735" w14:textId="77777777" w:rsidR="00E239C5" w:rsidRDefault="00E239C5">
      <w:pPr>
        <w:pStyle w:val="ListParagraph"/>
        <w:numPr>
          <w:ilvl w:val="0"/>
          <w:numId w:val="1"/>
        </w:numPr>
        <w:spacing w:after="160" w:afterAutospacing="0" w:line="259" w:lineRule="auto"/>
      </w:pPr>
      <w:r>
        <w:t>The DfE has issued “</w:t>
      </w:r>
      <w:r w:rsidRPr="00506D7F">
        <w:rPr>
          <w:b/>
          <w:bCs/>
        </w:rPr>
        <w:t>Early years education recovery programme</w:t>
      </w:r>
      <w:r>
        <w:t xml:space="preserve">. Information on new continuing professional development, qualifications and support and guidance for the early years sector funded by the Department for Education.” See all these:  </w:t>
      </w:r>
      <w:hyperlink r:id="rId18" w:history="1">
        <w:r w:rsidRPr="00772C47">
          <w:rPr>
            <w:rStyle w:val="Hyperlink"/>
          </w:rPr>
          <w:t>https://www.gov.uk/government/news/180-million-to-improve-childrens-development-in-the-early-years</w:t>
        </w:r>
      </w:hyperlink>
      <w:r>
        <w:t xml:space="preserve">    </w:t>
      </w:r>
      <w:r w:rsidRPr="00506D7F">
        <w:rPr>
          <w:b/>
          <w:bCs/>
        </w:rPr>
        <w:t xml:space="preserve">and </w:t>
      </w:r>
      <w:hyperlink r:id="rId19" w:history="1">
        <w:r w:rsidRPr="00772C47">
          <w:rPr>
            <w:rStyle w:val="Hyperlink"/>
          </w:rPr>
          <w:t>https://www.gov.uk/government/publications/early-years-education-recovery-programme</w:t>
        </w:r>
      </w:hyperlink>
      <w:r>
        <w:t xml:space="preserve">  </w:t>
      </w:r>
      <w:r w:rsidRPr="00506D7F">
        <w:rPr>
          <w:b/>
          <w:bCs/>
        </w:rPr>
        <w:t xml:space="preserve">and </w:t>
      </w:r>
      <w:hyperlink r:id="rId20" w:history="1">
        <w:r w:rsidRPr="00663AE1">
          <w:rPr>
            <w:rStyle w:val="Hyperlink"/>
          </w:rPr>
          <w:t>https://www.gov.uk/guidance/early-years-experts-and-mentors-programme</w:t>
        </w:r>
      </w:hyperlink>
      <w:r>
        <w:t xml:space="preserve">   The government is providing a package of workforce training, qualifications and support and guidance for the early years sector to support staff and settings and address the impact of the pandemic on the youngest and most disadvantaged children. Designed to support all areas of the early years sector, the package offers:</w:t>
      </w:r>
    </w:p>
    <w:p w14:paraId="7AF0D287" w14:textId="77777777" w:rsidR="00E239C5" w:rsidRDefault="00E239C5">
      <w:pPr>
        <w:pStyle w:val="ListParagraph"/>
        <w:numPr>
          <w:ilvl w:val="1"/>
          <w:numId w:val="1"/>
        </w:numPr>
        <w:spacing w:after="160" w:afterAutospacing="0" w:line="259" w:lineRule="auto"/>
      </w:pPr>
      <w:r>
        <w:t>continuing professional development</w:t>
      </w:r>
    </w:p>
    <w:p w14:paraId="03C982ED" w14:textId="77777777" w:rsidR="00E239C5" w:rsidRDefault="00E239C5">
      <w:pPr>
        <w:pStyle w:val="ListParagraph"/>
        <w:numPr>
          <w:ilvl w:val="1"/>
          <w:numId w:val="1"/>
        </w:numPr>
        <w:spacing w:after="160" w:afterAutospacing="0" w:line="259" w:lineRule="auto"/>
      </w:pPr>
      <w:r>
        <w:t>additional funding for qualifications</w:t>
      </w:r>
    </w:p>
    <w:p w14:paraId="64B07791" w14:textId="77777777" w:rsidR="00E239C5" w:rsidRDefault="00E239C5">
      <w:pPr>
        <w:pStyle w:val="ListParagraph"/>
        <w:numPr>
          <w:ilvl w:val="1"/>
          <w:numId w:val="1"/>
        </w:numPr>
        <w:spacing w:after="160" w:afterAutospacing="0" w:line="259" w:lineRule="auto"/>
      </w:pPr>
      <w:r>
        <w:t>support and guidance to early years settings through stronger practice hubs and experts and mentors</w:t>
      </w:r>
    </w:p>
    <w:p w14:paraId="15DC51AE" w14:textId="27D0062F" w:rsidR="00E239C5" w:rsidRDefault="00E239C5" w:rsidP="00FA38FC">
      <w:pPr>
        <w:ind w:left="0"/>
        <w:rPr>
          <w:rStyle w:val="Hyperlink"/>
          <w:b/>
          <w:bCs/>
          <w:color w:val="00B0F0"/>
          <w:u w:val="none"/>
        </w:rPr>
      </w:pPr>
    </w:p>
    <w:p w14:paraId="728A007A" w14:textId="03A7D0A3" w:rsidR="005363F6" w:rsidRDefault="005363F6" w:rsidP="00FA38FC">
      <w:pPr>
        <w:ind w:left="0"/>
        <w:rPr>
          <w:rStyle w:val="Hyperlink"/>
          <w:b/>
          <w:bCs/>
          <w:color w:val="00B0F0"/>
          <w:u w:val="none"/>
        </w:rPr>
      </w:pPr>
      <w:r>
        <w:rPr>
          <w:rStyle w:val="Hyperlink"/>
          <w:b/>
          <w:bCs/>
          <w:color w:val="00B0F0"/>
          <w:u w:val="none"/>
        </w:rPr>
        <w:t>Vocational qualifications</w:t>
      </w:r>
    </w:p>
    <w:p w14:paraId="6BEE3EBB" w14:textId="77777777" w:rsidR="00F038C1" w:rsidRDefault="00F038C1">
      <w:pPr>
        <w:pStyle w:val="ListParagraph"/>
        <w:numPr>
          <w:ilvl w:val="0"/>
          <w:numId w:val="12"/>
        </w:numPr>
        <w:spacing w:after="160" w:afterAutospacing="0" w:line="259" w:lineRule="auto"/>
      </w:pPr>
      <w:r>
        <w:t xml:space="preserve">The DfE has issued the outcome of its </w:t>
      </w:r>
      <w:r w:rsidRPr="005E4A4D">
        <w:rPr>
          <w:b/>
          <w:bCs/>
        </w:rPr>
        <w:t>review of post-16 qualifications at level 2 and below</w:t>
      </w:r>
      <w:r>
        <w:t xml:space="preserve">. For full details, see </w:t>
      </w:r>
      <w:hyperlink r:id="rId21" w:history="1">
        <w:r w:rsidRPr="00470945">
          <w:rPr>
            <w:rStyle w:val="Hyperlink"/>
          </w:rPr>
          <w:t>https://www.gov.uk/government/consultations/review-of-post-16-qualifications-at-level-2-and-below</w:t>
        </w:r>
      </w:hyperlink>
      <w:r>
        <w:t xml:space="preserve">      The consultation response confirms that it will proceed with proposals </w:t>
      </w:r>
      <w:r w:rsidRPr="005E4A4D">
        <w:rPr>
          <w:b/>
          <w:bCs/>
        </w:rPr>
        <w:t>to axe almost 3,500 existing courses from entry level to level 2</w:t>
      </w:r>
      <w:r>
        <w:t xml:space="preserve"> However, plans to defund those qualifications will not get underway in 2024 as first planned. They will </w:t>
      </w:r>
      <w:r w:rsidRPr="005E4A4D">
        <w:rPr>
          <w:b/>
          <w:bCs/>
        </w:rPr>
        <w:t>start from 2025</w:t>
      </w:r>
      <w:r>
        <w:t xml:space="preserve"> and be carried out in a phased way to 2027. It estimates that 72% (c. 1530) of ‘in scope’5 level 2 qualifications for 16 to 19-year-olds, 61% (c.1290) of ‘in scope’ level 2 qualifications for adults, and 56% (c.626) of ‘in scope, level 1 and entry level qualifications currently available may not fit into the future landscape</w:t>
      </w:r>
      <w:r w:rsidRPr="005E4A4D">
        <w:rPr>
          <w:b/>
          <w:bCs/>
        </w:rPr>
        <w:t>. Under the plans, the surviving qualifications would be placed into 17 new “groups</w:t>
      </w:r>
      <w:r w:rsidRPr="00BB2E80">
        <w:t>” – eight at level 2, five at level 1 and four at entry level.</w:t>
      </w:r>
      <w:r>
        <w:t xml:space="preserve"> The eight groups are comprised of six groups which it is intended to offer to both young people (aged 16-19) and adults (19+), as well as two groups which will be offered to adults only. The </w:t>
      </w:r>
      <w:r w:rsidRPr="005E4A4D">
        <w:rPr>
          <w:b/>
          <w:bCs/>
        </w:rPr>
        <w:t>six groups of qualifications which will be offered to both young people and adults</w:t>
      </w:r>
      <w:r>
        <w:t xml:space="preserve"> include:</w:t>
      </w:r>
    </w:p>
    <w:p w14:paraId="2DE98385" w14:textId="77777777" w:rsidR="00F038C1" w:rsidRDefault="00F038C1">
      <w:pPr>
        <w:pStyle w:val="ListParagraph"/>
        <w:numPr>
          <w:ilvl w:val="0"/>
          <w:numId w:val="13"/>
        </w:numPr>
        <w:spacing w:after="160" w:afterAutospacing="0" w:line="259" w:lineRule="auto"/>
      </w:pPr>
      <w:r>
        <w:t xml:space="preserve">Qualifications that support students to progress to level 3 technical qualifications which provide entry to an occupation, including T Levels </w:t>
      </w:r>
    </w:p>
    <w:p w14:paraId="72675B42" w14:textId="77777777" w:rsidR="00F038C1" w:rsidRDefault="00F038C1">
      <w:pPr>
        <w:pStyle w:val="ListParagraph"/>
        <w:numPr>
          <w:ilvl w:val="0"/>
          <w:numId w:val="13"/>
        </w:numPr>
        <w:spacing w:after="160" w:afterAutospacing="0" w:line="259" w:lineRule="auto"/>
      </w:pPr>
      <w:r>
        <w:t xml:space="preserve">Occupational-entry qualifications supporting progression into employment in an occupation at level 2 </w:t>
      </w:r>
    </w:p>
    <w:p w14:paraId="0224D9EF" w14:textId="77777777" w:rsidR="00F038C1" w:rsidRDefault="00F038C1">
      <w:pPr>
        <w:pStyle w:val="ListParagraph"/>
        <w:numPr>
          <w:ilvl w:val="0"/>
          <w:numId w:val="13"/>
        </w:numPr>
        <w:spacing w:after="160" w:afterAutospacing="0" w:line="259" w:lineRule="auto"/>
      </w:pPr>
      <w:r>
        <w:t>Specialist qualifications which enable students to build on an employer-led occupational standard and develop specialist skills and knowledge (</w:t>
      </w:r>
    </w:p>
    <w:p w14:paraId="5AC9491D" w14:textId="77777777" w:rsidR="00F038C1" w:rsidRDefault="00F038C1">
      <w:pPr>
        <w:pStyle w:val="ListParagraph"/>
        <w:numPr>
          <w:ilvl w:val="0"/>
          <w:numId w:val="13"/>
        </w:numPr>
        <w:spacing w:after="160" w:afterAutospacing="0" w:line="259" w:lineRule="auto"/>
      </w:pPr>
      <w:r>
        <w:t xml:space="preserve">Qualifications supporting students to develop cross-sectoral skills that add value across multiple occupational standards, such as stand-alone health and safety qualifications </w:t>
      </w:r>
    </w:p>
    <w:p w14:paraId="7706CC94" w14:textId="77777777" w:rsidR="00F038C1" w:rsidRDefault="00F038C1">
      <w:pPr>
        <w:pStyle w:val="ListParagraph"/>
        <w:numPr>
          <w:ilvl w:val="0"/>
          <w:numId w:val="13"/>
        </w:numPr>
        <w:spacing w:after="160" w:afterAutospacing="0" w:line="259" w:lineRule="auto"/>
      </w:pPr>
      <w:r>
        <w:t xml:space="preserve">Qualifications that have content that is substantially different from GCSEs and that support students to progress to level 3 academic qualifications, such as performing arts qualifications. </w:t>
      </w:r>
    </w:p>
    <w:p w14:paraId="5AE341F3" w14:textId="77777777" w:rsidR="00F038C1" w:rsidRDefault="00F038C1">
      <w:pPr>
        <w:pStyle w:val="ListParagraph"/>
        <w:numPr>
          <w:ilvl w:val="0"/>
          <w:numId w:val="13"/>
        </w:numPr>
        <w:spacing w:after="160" w:afterAutospacing="0" w:line="259" w:lineRule="auto"/>
      </w:pPr>
      <w:r w:rsidRPr="00DC41BC">
        <w:t>English qualifications for speakers of other languages</w:t>
      </w:r>
    </w:p>
    <w:p w14:paraId="5B65EE9A" w14:textId="77777777" w:rsidR="00F038C1" w:rsidRDefault="00F038C1" w:rsidP="00F038C1">
      <w:pPr>
        <w:ind w:left="360"/>
      </w:pPr>
      <w:r>
        <w:t xml:space="preserve">It is proposed that </w:t>
      </w:r>
      <w:r w:rsidRPr="005E4A4D">
        <w:rPr>
          <w:b/>
          <w:bCs/>
        </w:rPr>
        <w:t>five groups of qualifications at level 1 and four groups of qualification at entry level</w:t>
      </w:r>
      <w:r>
        <w:t xml:space="preserve"> will be considered for funding in the future, and that all these groups should be open to both young people and adults:</w:t>
      </w:r>
    </w:p>
    <w:p w14:paraId="707F764A" w14:textId="77777777" w:rsidR="00F038C1" w:rsidRDefault="00F038C1">
      <w:pPr>
        <w:pStyle w:val="ListParagraph"/>
        <w:numPr>
          <w:ilvl w:val="0"/>
          <w:numId w:val="14"/>
        </w:numPr>
        <w:spacing w:after="160" w:afterAutospacing="0" w:line="259" w:lineRule="auto"/>
      </w:pPr>
      <w:r>
        <w:t>Pre-technical qualifications which support direct progression onto a level 2</w:t>
      </w:r>
    </w:p>
    <w:p w14:paraId="64E9E7BF" w14:textId="77777777" w:rsidR="00F038C1" w:rsidRDefault="00F038C1">
      <w:pPr>
        <w:pStyle w:val="ListParagraph"/>
        <w:numPr>
          <w:ilvl w:val="0"/>
          <w:numId w:val="14"/>
        </w:numPr>
        <w:spacing w:after="160" w:afterAutospacing="0" w:line="259" w:lineRule="auto"/>
      </w:pPr>
      <w:r>
        <w:t xml:space="preserve">technical qualification which in turn either provides entry into an occupation or progression to a level 3 technical qualification </w:t>
      </w:r>
    </w:p>
    <w:p w14:paraId="7C6C75C1" w14:textId="77777777" w:rsidR="00F038C1" w:rsidRDefault="00F038C1">
      <w:pPr>
        <w:pStyle w:val="ListParagraph"/>
        <w:numPr>
          <w:ilvl w:val="0"/>
          <w:numId w:val="14"/>
        </w:numPr>
        <w:spacing w:after="160" w:afterAutospacing="0" w:line="259" w:lineRule="auto"/>
      </w:pPr>
      <w:r>
        <w:t xml:space="preserve">Qualifications that serve as a prerequisite to employment </w:t>
      </w:r>
    </w:p>
    <w:p w14:paraId="67EE787A" w14:textId="77777777" w:rsidR="00F038C1" w:rsidRDefault="00F038C1">
      <w:pPr>
        <w:pStyle w:val="ListParagraph"/>
        <w:numPr>
          <w:ilvl w:val="0"/>
          <w:numId w:val="14"/>
        </w:numPr>
        <w:spacing w:after="160" w:afterAutospacing="0" w:line="259" w:lineRule="auto"/>
      </w:pPr>
      <w:r>
        <w:t>Qualifications delivering skills that are complementary to a study programme</w:t>
      </w:r>
    </w:p>
    <w:p w14:paraId="4290DAD4" w14:textId="77777777" w:rsidR="00F038C1" w:rsidRDefault="00F038C1">
      <w:pPr>
        <w:pStyle w:val="ListParagraph"/>
        <w:numPr>
          <w:ilvl w:val="0"/>
          <w:numId w:val="14"/>
        </w:numPr>
        <w:spacing w:after="160" w:afterAutospacing="0" w:line="259" w:lineRule="auto"/>
      </w:pPr>
      <w:r>
        <w:t xml:space="preserve">English and maths qualifications (non FSQ/GCSE) </w:t>
      </w:r>
    </w:p>
    <w:p w14:paraId="4A27D02E" w14:textId="77777777" w:rsidR="00F038C1" w:rsidRDefault="00F038C1">
      <w:pPr>
        <w:pStyle w:val="ListParagraph"/>
        <w:numPr>
          <w:ilvl w:val="0"/>
          <w:numId w:val="14"/>
        </w:numPr>
        <w:spacing w:after="160" w:afterAutospacing="0" w:line="259" w:lineRule="auto"/>
      </w:pPr>
      <w:r>
        <w:t xml:space="preserve">English qualifications for speakers of other languages (ESOL) </w:t>
      </w:r>
    </w:p>
    <w:p w14:paraId="746A5464" w14:textId="77777777" w:rsidR="00F038C1" w:rsidRDefault="00F038C1" w:rsidP="00F038C1">
      <w:pPr>
        <w:ind w:left="360"/>
      </w:pPr>
      <w:r>
        <w:t>The four groups of qualifications for entry level are:</w:t>
      </w:r>
    </w:p>
    <w:p w14:paraId="2E347ECF" w14:textId="77777777" w:rsidR="00F038C1" w:rsidRDefault="00F038C1">
      <w:pPr>
        <w:pStyle w:val="ListParagraph"/>
        <w:numPr>
          <w:ilvl w:val="0"/>
          <w:numId w:val="14"/>
        </w:numPr>
        <w:spacing w:after="160" w:afterAutospacing="0" w:line="259" w:lineRule="auto"/>
      </w:pPr>
      <w:r>
        <w:t xml:space="preserve">Entry level 3 qualifications which lead directly to a level 1 pre-technical qualification </w:t>
      </w:r>
    </w:p>
    <w:p w14:paraId="2EF1960E" w14:textId="77777777" w:rsidR="00F038C1" w:rsidRDefault="00F038C1">
      <w:pPr>
        <w:pStyle w:val="ListParagraph"/>
        <w:numPr>
          <w:ilvl w:val="0"/>
          <w:numId w:val="14"/>
        </w:numPr>
        <w:spacing w:after="160" w:afterAutospacing="0" w:line="259" w:lineRule="auto"/>
      </w:pPr>
      <w:r>
        <w:t xml:space="preserve">Entry level 1, entry level 2 and entry level 3 qualifications delivering skills that are complementary to a study programme </w:t>
      </w:r>
    </w:p>
    <w:p w14:paraId="05165C2C" w14:textId="77777777" w:rsidR="00F038C1" w:rsidRDefault="00F038C1">
      <w:pPr>
        <w:pStyle w:val="ListParagraph"/>
        <w:numPr>
          <w:ilvl w:val="0"/>
          <w:numId w:val="14"/>
        </w:numPr>
        <w:spacing w:after="160" w:afterAutospacing="0" w:line="259" w:lineRule="auto"/>
      </w:pPr>
      <w:r>
        <w:t>Entry level 1, entry level 2 and entry level 3 qualifications in English and maths</w:t>
      </w:r>
    </w:p>
    <w:p w14:paraId="45DAC998" w14:textId="77777777" w:rsidR="00F038C1" w:rsidRDefault="00F038C1">
      <w:pPr>
        <w:pStyle w:val="ListParagraph"/>
        <w:numPr>
          <w:ilvl w:val="0"/>
          <w:numId w:val="14"/>
        </w:numPr>
        <w:spacing w:after="160" w:afterAutospacing="0" w:line="259" w:lineRule="auto"/>
      </w:pPr>
      <w:r>
        <w:t>Entry level 1, entry level 2 and entry level 3 qualifications in English for speakers of other languages (ESOL) (group 17)</w:t>
      </w:r>
    </w:p>
    <w:p w14:paraId="75749C3D" w14:textId="77777777" w:rsidR="00F038C1" w:rsidRDefault="00F038C1" w:rsidP="00F038C1">
      <w:pPr>
        <w:ind w:left="360"/>
      </w:pPr>
      <w:r>
        <w:t xml:space="preserve">It is also proposed to continue to fund </w:t>
      </w:r>
      <w:r w:rsidRPr="005E4A4D">
        <w:rPr>
          <w:b/>
          <w:bCs/>
        </w:rPr>
        <w:t>non FSQ/GCSE qualifications in English and maths at level 1 and below</w:t>
      </w:r>
      <w:r>
        <w:t xml:space="preserve">, for the small cohort who cannot access GCSEs and FSQs directly, and to </w:t>
      </w:r>
      <w:r w:rsidRPr="005E4A4D">
        <w:rPr>
          <w:b/>
          <w:bCs/>
        </w:rPr>
        <w:t>remove funding approval from these qualifications at level 2.</w:t>
      </w:r>
    </w:p>
    <w:p w14:paraId="159AD011" w14:textId="77777777" w:rsidR="00F038C1" w:rsidRDefault="00F038C1" w:rsidP="00F038C1">
      <w:pPr>
        <w:ind w:left="360"/>
      </w:pPr>
      <w:r>
        <w:t xml:space="preserve">It is also proposed to develop </w:t>
      </w:r>
      <w:r w:rsidRPr="005E4A4D">
        <w:rPr>
          <w:b/>
          <w:bCs/>
        </w:rPr>
        <w:t>a set of national standards for PSE qualifications</w:t>
      </w:r>
      <w:r>
        <w:t>. These standards, similar to the Essential Digital Skills Qualifications (EDSQ) standards, would include core content, key skills, and behaviours, and set out a clear continuum of skills development and progression across the levels. In future, only qualifications which meet these standards would be eligible for public funding.</w:t>
      </w:r>
    </w:p>
    <w:p w14:paraId="6F2CD20C" w14:textId="77777777" w:rsidR="00F038C1" w:rsidRDefault="00F038C1" w:rsidP="00F038C1">
      <w:pPr>
        <w:ind w:left="360"/>
      </w:pPr>
      <w:r>
        <w:t xml:space="preserve">The DfE says it would “allow </w:t>
      </w:r>
      <w:r w:rsidRPr="005E4A4D">
        <w:rPr>
          <w:b/>
          <w:bCs/>
        </w:rPr>
        <w:t>greater flexibility”,</w:t>
      </w:r>
      <w:r>
        <w:t xml:space="preserve"> for example by allowing institutions to offer level 2 qualifications leading to employment to 16 to 19-year-olds in less than two years, depending on the “size of the reformed qualification and how it fits alongside the other essential elements of the study programme”. And at entry levels 1 and 2, the DfE will “fund ‘vocational taster’ qualifications (that provide students with an opportunity to explore industries and occupations), giving an additional option to those studying at the lowest levels”.</w:t>
      </w:r>
    </w:p>
    <w:p w14:paraId="7442FE9F" w14:textId="77777777" w:rsidR="00B464B7" w:rsidRDefault="00B464B7">
      <w:pPr>
        <w:pStyle w:val="ListParagraph"/>
        <w:numPr>
          <w:ilvl w:val="0"/>
          <w:numId w:val="12"/>
        </w:numPr>
        <w:spacing w:after="160" w:afterAutospacing="0" w:line="259" w:lineRule="auto"/>
      </w:pPr>
      <w:r w:rsidRPr="00227BDA">
        <w:t xml:space="preserve">The DfE has issued </w:t>
      </w:r>
      <w:r w:rsidRPr="00D36C7D">
        <w:rPr>
          <w:b/>
          <w:bCs/>
        </w:rPr>
        <w:t>the final list of level 3qualifications that will have 16 to 19 funding withdrawn for new starts from 1 August 2024 due to overlap with T Levels</w:t>
      </w:r>
      <w:r w:rsidRPr="00227BDA">
        <w:t>.</w:t>
      </w:r>
      <w:r>
        <w:t xml:space="preserve"> See </w:t>
      </w:r>
      <w:hyperlink r:id="rId22" w:history="1">
        <w:r w:rsidRPr="00085114">
          <w:rPr>
            <w:rStyle w:val="Hyperlink"/>
          </w:rPr>
          <w:t>https://www.gov.uk/government/publications/qualifications-that-overlap-with-t-levels</w:t>
        </w:r>
      </w:hyperlink>
      <w:r>
        <w:t xml:space="preserve">     </w:t>
      </w:r>
      <w:r w:rsidRPr="00006F1B">
        <w:t>At least a third of the BTEC qualifications set to be axed in 2024 have been saved.</w:t>
      </w:r>
      <w:r>
        <w:t xml:space="preserve"> Of the 160 vocational and technical qualifications that were facing the chop, at least 106 will continue to be defunded in two years’ time. These courses account for around 38,000 current enrolments. But a decision has been delayed on another 33 courses that overlap with the health and science T-level, because t</w:t>
      </w:r>
      <w:r w:rsidRPr="00E52DED">
        <w:t>he content of the T-level is being reviewed by the government after Ofqual found last year’s exams were not fit for purpose and led to results for over 1,000 students being regraded. The final outcome for these courses will be published later this calendar year.</w:t>
      </w:r>
      <w:r>
        <w:t xml:space="preserve"> </w:t>
      </w:r>
      <w:r w:rsidRPr="005F1638">
        <w:t xml:space="preserve">It means the remaining 21 courses have been saved from the </w:t>
      </w:r>
      <w:r>
        <w:t xml:space="preserve">axe, </w:t>
      </w:r>
      <w:r w:rsidRPr="005F1638">
        <w:t>(see full list below). They had been deemed to overlap with digital, construction and education and childcare T Levels.</w:t>
      </w:r>
    </w:p>
    <w:p w14:paraId="36304139" w14:textId="1B179E30" w:rsidR="00B464B7" w:rsidRPr="00FA38FC" w:rsidRDefault="00D36C7D" w:rsidP="00D36C7D">
      <w:pPr>
        <w:rPr>
          <w:rStyle w:val="Hyperlink"/>
          <w:b/>
          <w:bCs/>
          <w:color w:val="00B0F0"/>
          <w:u w:val="none"/>
        </w:rPr>
      </w:pPr>
      <w:r>
        <w:t>The DfE said its analysis of the final defunding list, excluding health and science, shows that students from special education needs and disabilities backgrounds, disadvantaged backgrounds, and those from white ethnic groups are “more likely to be disproportionately affected”. More qualifications will be reviewed in future years as more T Levels roll out. A provisional list of qualifications that overlap with wave three and four T Levels in spring 2023 and awarding organisations will also be given the opportunity to appeal</w:t>
      </w:r>
    </w:p>
    <w:p w14:paraId="28E1A1DA" w14:textId="77777777" w:rsidR="0090430F" w:rsidRDefault="0090430F" w:rsidP="007F516A">
      <w:pPr>
        <w:ind w:left="0"/>
        <w:rPr>
          <w:rStyle w:val="Hyperlink"/>
          <w:b/>
          <w:color w:val="00B0F0"/>
          <w:u w:val="none"/>
        </w:rPr>
      </w:pPr>
    </w:p>
    <w:p w14:paraId="5531CC2F" w14:textId="47BD7E9B" w:rsidR="00ED3179" w:rsidRPr="00ED3179" w:rsidRDefault="00C51918" w:rsidP="001D4A7B">
      <w:pPr>
        <w:spacing w:after="160" w:afterAutospacing="0" w:line="259" w:lineRule="auto"/>
        <w:rPr>
          <w:b/>
          <w:bCs/>
          <w:color w:val="00B0F0"/>
          <w:lang w:val="en-US"/>
        </w:rPr>
      </w:pPr>
      <w:r>
        <w:rPr>
          <w:noProof/>
          <w:lang w:eastAsia="en-GB"/>
        </w:rPr>
        <w:drawing>
          <wp:inline distT="0" distB="0" distL="0" distR="0" wp14:anchorId="4BAED9FF" wp14:editId="0DEDF5BD">
            <wp:extent cx="5730240" cy="9753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240" cy="9753600"/>
                    </a:xfrm>
                    <a:prstGeom prst="rect">
                      <a:avLst/>
                    </a:prstGeom>
                    <a:noFill/>
                    <a:ln>
                      <a:noFill/>
                    </a:ln>
                  </pic:spPr>
                </pic:pic>
              </a:graphicData>
            </a:graphic>
          </wp:inline>
        </w:drawing>
      </w:r>
    </w:p>
    <w:p w14:paraId="21C84F58" w14:textId="5F3709C0" w:rsidR="007B7E83" w:rsidRDefault="006A2582" w:rsidP="00962713">
      <w:pPr>
        <w:spacing w:after="160" w:afterAutospacing="0" w:line="259" w:lineRule="auto"/>
        <w:ind w:left="0"/>
        <w:rPr>
          <w:b/>
          <w:bCs/>
          <w:color w:val="00B0F0"/>
          <w:lang w:val="en-US"/>
        </w:rPr>
      </w:pPr>
      <w:r w:rsidRPr="006A2582">
        <w:rPr>
          <w:b/>
          <w:bCs/>
          <w:color w:val="00B0F0"/>
          <w:lang w:val="en-US"/>
        </w:rPr>
        <w:t>Academies and Trusts</w:t>
      </w:r>
    </w:p>
    <w:p w14:paraId="5D7DEE7A" w14:textId="5BE10085" w:rsidR="006A2582" w:rsidRPr="008360D4" w:rsidRDefault="002810CC">
      <w:pPr>
        <w:pStyle w:val="ListParagraph"/>
        <w:numPr>
          <w:ilvl w:val="0"/>
          <w:numId w:val="15"/>
        </w:numPr>
        <w:spacing w:after="160" w:afterAutospacing="0" w:line="259" w:lineRule="auto"/>
        <w:rPr>
          <w:rStyle w:val="Hyperlink"/>
          <w:b/>
          <w:bCs/>
          <w:color w:val="00B0F0"/>
          <w:u w:val="none"/>
          <w:lang w:val="en-US"/>
        </w:rPr>
      </w:pPr>
      <w:r w:rsidRPr="002810CC">
        <w:rPr>
          <w:b/>
          <w:bCs/>
        </w:rPr>
        <w:t>Around a quarter of academy trusts in the North East of England are considering a merger with another trust</w:t>
      </w:r>
      <w:r>
        <w:t xml:space="preserve">, a new survey has revealed. A survey of 33 academy trust CEOs, which represent more than 200 schools in the area, found that 24.2 per cent were planning a trust merger and 48.5 per cent an expansion. The research, conducted by Schools North East (SNE), found that 15.2 per cent of trusts were undecided as to what their next steps would be and 12.1 per cent said they would not merge or expand. See </w:t>
      </w:r>
      <w:hyperlink r:id="rId24" w:history="1">
        <w:r w:rsidRPr="003A62FF">
          <w:rPr>
            <w:rStyle w:val="Hyperlink"/>
          </w:rPr>
          <w:t>https://www.tes.com/magazine/news/general/one-four-mats-north-east-considering-mergers</w:t>
        </w:r>
      </w:hyperlink>
    </w:p>
    <w:p w14:paraId="61DDDE42" w14:textId="1ECD81B8" w:rsidR="008360D4" w:rsidRDefault="008360D4" w:rsidP="008360D4">
      <w:pPr>
        <w:spacing w:after="160" w:afterAutospacing="0" w:line="259" w:lineRule="auto"/>
        <w:rPr>
          <w:b/>
          <w:bCs/>
          <w:color w:val="00B0F0"/>
          <w:lang w:val="en-US"/>
        </w:rPr>
      </w:pPr>
    </w:p>
    <w:p w14:paraId="4CF63501" w14:textId="1D6206D0" w:rsidR="008360D4" w:rsidRPr="00393BE6" w:rsidRDefault="008360D4">
      <w:pPr>
        <w:pStyle w:val="ListParagraph"/>
        <w:numPr>
          <w:ilvl w:val="0"/>
          <w:numId w:val="15"/>
        </w:numPr>
        <w:spacing w:after="160" w:afterAutospacing="0" w:line="259" w:lineRule="auto"/>
        <w:rPr>
          <w:rStyle w:val="Hyperlink"/>
          <w:b/>
          <w:bCs/>
          <w:color w:val="00B0F0"/>
          <w:u w:val="none"/>
          <w:lang w:val="en-US"/>
        </w:rPr>
      </w:pPr>
      <w:r>
        <w:t>ESFA has updated “</w:t>
      </w:r>
      <w:r w:rsidRPr="0047389F">
        <w:t xml:space="preserve">Information for academy trusts to </w:t>
      </w:r>
      <w:r w:rsidRPr="008360D4">
        <w:rPr>
          <w:b/>
          <w:bCs/>
        </w:rPr>
        <w:t>complete their accounts return</w:t>
      </w:r>
      <w:r>
        <w:t>”</w:t>
      </w:r>
      <w:r w:rsidRPr="0047389F">
        <w:t>.</w:t>
      </w:r>
      <w:r>
        <w:t xml:space="preserve"> See </w:t>
      </w:r>
      <w:hyperlink r:id="rId25" w:history="1">
        <w:r w:rsidRPr="00D909FD">
          <w:rPr>
            <w:rStyle w:val="Hyperlink"/>
          </w:rPr>
          <w:t>https://www.gov.uk/guidance/academies-accounts-return</w:t>
        </w:r>
      </w:hyperlink>
    </w:p>
    <w:p w14:paraId="695D14B4" w14:textId="77777777" w:rsidR="00393BE6" w:rsidRPr="00393BE6" w:rsidRDefault="00393BE6" w:rsidP="00393BE6">
      <w:pPr>
        <w:pStyle w:val="ListParagraph"/>
        <w:rPr>
          <w:b/>
          <w:bCs/>
          <w:color w:val="00B0F0"/>
          <w:lang w:val="en-US"/>
        </w:rPr>
      </w:pPr>
    </w:p>
    <w:p w14:paraId="7A4D2362" w14:textId="5EEE0770" w:rsidR="00393BE6" w:rsidRPr="006F02AE" w:rsidRDefault="00393BE6">
      <w:pPr>
        <w:pStyle w:val="ListParagraph"/>
        <w:numPr>
          <w:ilvl w:val="0"/>
          <w:numId w:val="15"/>
        </w:numPr>
        <w:spacing w:after="160" w:afterAutospacing="0" w:line="259" w:lineRule="auto"/>
        <w:rPr>
          <w:rStyle w:val="Hyperlink"/>
          <w:color w:val="auto"/>
          <w:u w:val="none"/>
        </w:rPr>
      </w:pPr>
      <w:r>
        <w:t>ESFA has issued “</w:t>
      </w:r>
      <w:r w:rsidRPr="00101CE3">
        <w:t xml:space="preserve">Guidance for academy trusts, external auditors and reporting accountants on </w:t>
      </w:r>
      <w:r w:rsidRPr="005E4A4D">
        <w:rPr>
          <w:b/>
          <w:bCs/>
        </w:rPr>
        <w:t>preparing, auditing and submitting an academy trust's annual financial statements</w:t>
      </w:r>
      <w:r>
        <w:t>”</w:t>
      </w:r>
      <w:r w:rsidRPr="00101CE3">
        <w:t>.</w:t>
      </w:r>
      <w:r>
        <w:t xml:space="preserve"> See </w:t>
      </w:r>
      <w:hyperlink r:id="rId26" w:history="1">
        <w:r w:rsidRPr="00470945">
          <w:rPr>
            <w:rStyle w:val="Hyperlink"/>
          </w:rPr>
          <w:t>https://www.gov.uk/guidance/academies-accounts-direction</w:t>
        </w:r>
      </w:hyperlink>
    </w:p>
    <w:p w14:paraId="5A18ED88" w14:textId="77777777" w:rsidR="006F02AE" w:rsidRDefault="006F02AE" w:rsidP="006F02AE">
      <w:pPr>
        <w:pStyle w:val="ListParagraph"/>
      </w:pPr>
    </w:p>
    <w:p w14:paraId="307A2602" w14:textId="77777777" w:rsidR="006F02AE" w:rsidRPr="00F675C7" w:rsidRDefault="006F02AE">
      <w:pPr>
        <w:pStyle w:val="ListParagraph"/>
        <w:numPr>
          <w:ilvl w:val="0"/>
          <w:numId w:val="8"/>
        </w:numPr>
        <w:spacing w:after="160" w:afterAutospacing="0" w:line="259" w:lineRule="auto"/>
        <w:rPr>
          <w:rStyle w:val="Hyperlink"/>
        </w:rPr>
      </w:pPr>
      <w:r>
        <w:t xml:space="preserve">The DfE has issued guidance on the </w:t>
      </w:r>
      <w:r w:rsidRPr="00506D7F">
        <w:rPr>
          <w:b/>
          <w:bCs/>
        </w:rPr>
        <w:t>Trust Capacity Fund (TCaF</w:t>
      </w:r>
      <w:r w:rsidRPr="00C8149D">
        <w:t>)</w:t>
      </w:r>
      <w:r>
        <w:t xml:space="preserve">, </w:t>
      </w:r>
      <w:hyperlink r:id="rId27" w:history="1">
        <w:r w:rsidRPr="00663AE1">
          <w:rPr>
            <w:rStyle w:val="Hyperlink"/>
          </w:rPr>
          <w:t>https://www.gov.uk/government/publications/apply-to-the-trust-capacity-fund</w:t>
        </w:r>
      </w:hyperlink>
      <w:r>
        <w:t xml:space="preserve">  and </w:t>
      </w:r>
      <w:r w:rsidRPr="00506D7F">
        <w:rPr>
          <w:b/>
          <w:bCs/>
        </w:rPr>
        <w:t>successful applicants</w:t>
      </w:r>
      <w:r w:rsidRPr="00504502">
        <w:t xml:space="preserve"> who applied to the Trust Capacity Fund in the 2019 to 2023 funding rounds</w:t>
      </w:r>
      <w:r>
        <w:t xml:space="preserve">, </w:t>
      </w:r>
      <w:hyperlink r:id="rId28" w:history="1">
        <w:r w:rsidRPr="00663AE1">
          <w:rPr>
            <w:rStyle w:val="Hyperlink"/>
          </w:rPr>
          <w:t>https://www.gov.uk/government/publications/trust-capacity-fund-tcaf-award-recipients</w:t>
        </w:r>
      </w:hyperlink>
      <w:r>
        <w:rPr>
          <w:rStyle w:val="Hyperlink"/>
        </w:rPr>
        <w:t xml:space="preserve">    </w:t>
      </w:r>
    </w:p>
    <w:p w14:paraId="5910EAAD" w14:textId="77777777" w:rsidR="006F02AE" w:rsidRDefault="006F02AE" w:rsidP="006F02AE">
      <w:pPr>
        <w:ind w:left="360"/>
      </w:pPr>
      <w:r>
        <w:t>The government is offering “strong” academy trusts grants of up to £100,000 to expand by taking on ‘good’ or ‘outstanding’ schools in better-performing regions. Experts say these “</w:t>
      </w:r>
      <w:r w:rsidRPr="00077899">
        <w:rPr>
          <w:b/>
          <w:bCs/>
        </w:rPr>
        <w:t>capacity giver” schools</w:t>
      </w:r>
      <w:r>
        <w:t xml:space="preserve"> will help to improve a trust’s ability to drive up improvement at its other schools. The new strand has been added to criteria for the second window of the 2022-23 trust capacity fund (TCaF). The capacity fund, worth £86 million over three years, is to help trusts “develop their capacity and take on underperforming schools, particularly in education investment areas”. Ministers named 55 EIAs – those with the lowest education outcomes – to be prioritised for government support. But trusts can now get between £50,000 and £100,000 for taking on “good or outstanding schools outside of an EIA”. Under the new round, applications can include for MAT mergers, single trusts joining together or local authority “spin-off” trusts. Applicants must be “of sound financial health”. Successful applicants who do not meet the standards of 90 per cent of pupils meeting the expected standard in phonics and half of students entering the EBacc will “need to commit to improving your performance”. Applicants will also be expected to host teacher training placements. Those written to by government over excessive chief executive pay may also have points deducted from their application. The money can be used for things like establishing new central processes, setting up new central team posts or relocation costs for moving staff to new reasons. Costs can not cover capital expenditure, consultancy for delivering the expansion or due diligence on takeovers. The application window runs until December 16. Details of the next application round – which will look particularly for projects which “address [government] priorities” in the EIAs – will be published later this year.</w:t>
      </w:r>
    </w:p>
    <w:p w14:paraId="6CA03B89" w14:textId="7AD33C9A" w:rsidR="006F02AE" w:rsidRDefault="006F02AE" w:rsidP="008507A0">
      <w:pPr>
        <w:spacing w:after="160" w:afterAutospacing="0" w:line="259" w:lineRule="auto"/>
        <w:ind w:left="0"/>
      </w:pPr>
    </w:p>
    <w:p w14:paraId="14C8D164" w14:textId="7F1B3C2C" w:rsidR="008507A0" w:rsidRDefault="008507A0" w:rsidP="008507A0">
      <w:pPr>
        <w:spacing w:after="160" w:afterAutospacing="0" w:line="259" w:lineRule="auto"/>
        <w:ind w:left="0"/>
        <w:rPr>
          <w:b/>
          <w:bCs/>
          <w:color w:val="00B0F0"/>
        </w:rPr>
      </w:pPr>
      <w:r w:rsidRPr="008507A0">
        <w:rPr>
          <w:b/>
          <w:bCs/>
          <w:color w:val="00B0F0"/>
        </w:rPr>
        <w:t>NTP</w:t>
      </w:r>
    </w:p>
    <w:p w14:paraId="52E06622" w14:textId="6FFAA78B" w:rsidR="008507A0" w:rsidRPr="00BB6036" w:rsidRDefault="0011687E">
      <w:pPr>
        <w:pStyle w:val="ListParagraph"/>
        <w:numPr>
          <w:ilvl w:val="0"/>
          <w:numId w:val="8"/>
        </w:numPr>
        <w:spacing w:after="160" w:afterAutospacing="0" w:line="259" w:lineRule="auto"/>
        <w:rPr>
          <w:rStyle w:val="Hyperlink"/>
          <w:b/>
          <w:bCs/>
          <w:color w:val="00B0F0"/>
          <w:u w:val="none"/>
        </w:rPr>
      </w:pPr>
      <w:r>
        <w:t>ESFA has issued “</w:t>
      </w:r>
      <w:r w:rsidRPr="0011687E">
        <w:rPr>
          <w:b/>
          <w:bCs/>
        </w:rPr>
        <w:t>National Tutoring Programme (NTP) allocations for 2022 to 2023 academic year</w:t>
      </w:r>
      <w:r>
        <w:t xml:space="preserve">. Initial allocations which set out the funding amounts for schools and local authorities through the National Tutoring Programme (NTP) for academic year 2022 to 2023. See </w:t>
      </w:r>
      <w:hyperlink r:id="rId29" w:history="1">
        <w:r w:rsidRPr="00663AE1">
          <w:rPr>
            <w:rStyle w:val="Hyperlink"/>
          </w:rPr>
          <w:t>https://www.gov.uk/government/publications/national-tutoring-programme-ntp-allocations-for-2022-to-2023-academic-year</w:t>
        </w:r>
      </w:hyperlink>
    </w:p>
    <w:p w14:paraId="7DFA64B9" w14:textId="36E5B358" w:rsidR="00BB6036" w:rsidRDefault="00BB6036" w:rsidP="00BB6036">
      <w:pPr>
        <w:spacing w:after="160" w:afterAutospacing="0" w:line="259" w:lineRule="auto"/>
        <w:rPr>
          <w:b/>
          <w:bCs/>
          <w:color w:val="00B0F0"/>
        </w:rPr>
      </w:pPr>
    </w:p>
    <w:p w14:paraId="0BA5FBD3" w14:textId="77777777" w:rsidR="00BB6036" w:rsidRDefault="00BB6036">
      <w:pPr>
        <w:pStyle w:val="ListParagraph"/>
        <w:numPr>
          <w:ilvl w:val="0"/>
          <w:numId w:val="16"/>
        </w:numPr>
        <w:spacing w:after="160" w:afterAutospacing="0" w:line="259" w:lineRule="auto"/>
      </w:pPr>
      <w:r>
        <w:t>An</w:t>
      </w:r>
      <w:r w:rsidRPr="00594120">
        <w:t xml:space="preserve"> </w:t>
      </w:r>
      <w:r w:rsidRPr="005E4A4D">
        <w:rPr>
          <w:b/>
          <w:bCs/>
        </w:rPr>
        <w:t xml:space="preserve">independent study of the £350 million first year of the NTP </w:t>
      </w:r>
      <w:r w:rsidRPr="00594120">
        <w:t>has been published</w:t>
      </w:r>
      <w:r>
        <w:t xml:space="preserve">. See </w:t>
      </w:r>
      <w:hyperlink r:id="rId30" w:history="1">
        <w:r w:rsidRPr="00164F0F">
          <w:rPr>
            <w:rStyle w:val="Hyperlink"/>
          </w:rPr>
          <w:t>https://educationendowmentfoundation.org.uk/national-tutoring-programme</w:t>
        </w:r>
      </w:hyperlink>
      <w:r>
        <w:t xml:space="preserve">    </w:t>
      </w:r>
      <w:r w:rsidRPr="00A50EB1">
        <w:t>It looked at how students eligible for pupil premium performed through the two pillars in the 2020-21 academic year</w:t>
      </w:r>
      <w:r>
        <w:t>. Key findings:</w:t>
      </w:r>
    </w:p>
    <w:p w14:paraId="79BA901C" w14:textId="77777777" w:rsidR="00BB6036" w:rsidRDefault="00BB6036" w:rsidP="00BB6036">
      <w:pPr>
        <w:pStyle w:val="ListParagraph"/>
      </w:pPr>
    </w:p>
    <w:p w14:paraId="053786CD" w14:textId="77777777" w:rsidR="00BB6036" w:rsidRDefault="00BB6036">
      <w:pPr>
        <w:pStyle w:val="ListParagraph"/>
        <w:numPr>
          <w:ilvl w:val="1"/>
          <w:numId w:val="16"/>
        </w:numPr>
        <w:spacing w:after="160" w:afterAutospacing="0" w:line="259" w:lineRule="auto"/>
      </w:pPr>
      <w:r w:rsidRPr="008A3BD0">
        <w:t xml:space="preserve">Many </w:t>
      </w:r>
      <w:r w:rsidRPr="005E4A4D">
        <w:rPr>
          <w:b/>
          <w:bCs/>
        </w:rPr>
        <w:t>school leaders felt “overwhelmed” by their role in setting up and monitoring tuition</w:t>
      </w:r>
      <w:r w:rsidRPr="008A3BD0">
        <w:t xml:space="preserve"> during the first year of the </w:t>
      </w:r>
      <w:r>
        <w:t>NTP. S</w:t>
      </w:r>
      <w:r w:rsidRPr="00020DA6">
        <w:t>chools had “not always anticipated the resource required to support” the programme, and had “limited time and capacity” to select the tutoring most suitable to meet their pupils’ needs.</w:t>
      </w:r>
    </w:p>
    <w:p w14:paraId="3E3B0711" w14:textId="77777777" w:rsidR="00BB6036" w:rsidRDefault="00BB6036">
      <w:pPr>
        <w:pStyle w:val="ListParagraph"/>
        <w:numPr>
          <w:ilvl w:val="0"/>
          <w:numId w:val="17"/>
        </w:numPr>
        <w:spacing w:after="160" w:afterAutospacing="0" w:line="259" w:lineRule="auto"/>
      </w:pPr>
      <w:r>
        <w:t>Researchers found that “</w:t>
      </w:r>
      <w:r w:rsidRPr="005E4A4D">
        <w:rPr>
          <w:b/>
          <w:bCs/>
        </w:rPr>
        <w:t>higher amounts” of tutoring were associated with better teacher assessed grades at year 11</w:t>
      </w:r>
      <w:r>
        <w:t xml:space="preserve"> in English and in maths through tuition partners. For schools where 70 per cent of pupil premium GCSE students for tutoring, two months </w:t>
      </w:r>
      <w:r w:rsidRPr="005E4A4D">
        <w:rPr>
          <w:b/>
          <w:bCs/>
        </w:rPr>
        <w:t>additional progress</w:t>
      </w:r>
      <w:r>
        <w:t xml:space="preserve"> was made in maths and English. But EEF’s own toolkit on small group tuition says the impact is on average four months’ progress over the course of a year.</w:t>
      </w:r>
    </w:p>
    <w:p w14:paraId="798AF189" w14:textId="77777777" w:rsidR="00BB6036" w:rsidRDefault="00BB6036">
      <w:pPr>
        <w:pStyle w:val="ListParagraph"/>
        <w:numPr>
          <w:ilvl w:val="0"/>
          <w:numId w:val="17"/>
        </w:numPr>
        <w:spacing w:after="160" w:afterAutospacing="0" w:line="259" w:lineRule="auto"/>
      </w:pPr>
      <w:r>
        <w:t xml:space="preserve">There was no </w:t>
      </w:r>
      <w:r w:rsidRPr="005E4A4D">
        <w:rPr>
          <w:b/>
          <w:bCs/>
        </w:rPr>
        <w:t>pupil premium</w:t>
      </w:r>
      <w:r>
        <w:t xml:space="preserve"> target for tuition’s partner’s inaugural year and schools had discretion on who needed tutoring the most, but with a focus on disadvantaged pupils. Just 46 per cent of 184,000 pupils receiving tutoring through this pillar – run by the Education Endowment Foundation – were pupil premium students. </w:t>
      </w:r>
      <w:r w:rsidRPr="003C0E32">
        <w:t>NFER said “more should be done” to target support at disadvantaged pupils.</w:t>
      </w:r>
    </w:p>
    <w:p w14:paraId="62611738" w14:textId="77777777" w:rsidR="00BB6036" w:rsidRDefault="00BB6036">
      <w:pPr>
        <w:pStyle w:val="ListParagraph"/>
        <w:numPr>
          <w:ilvl w:val="0"/>
          <w:numId w:val="17"/>
        </w:numPr>
        <w:spacing w:after="160" w:afterAutospacing="0" w:line="259" w:lineRule="auto"/>
      </w:pPr>
      <w:r w:rsidRPr="005E4A4D">
        <w:rPr>
          <w:b/>
          <w:bCs/>
        </w:rPr>
        <w:t>Just over half – 56 per cent – of pupils attended 12 or more hours of tutoring</w:t>
      </w:r>
      <w:r>
        <w:t>. NFER said that by the end of year 1, a “substantial minority” of pupils – 35 per cent – did not receive a full block, with another eight per cent having “missing data”.  On average at pupil level, primary school pupils had received 8.8 hours of tuition in English and 8.9 hours in maths prior to assessments around June and July. In year 11, this was 7.6 hours in English and 8.4 hours in maths by the time TAGs were submitted in June.</w:t>
      </w:r>
    </w:p>
    <w:p w14:paraId="41C4A253" w14:textId="77777777" w:rsidR="00BB6036" w:rsidRDefault="00BB6036">
      <w:pPr>
        <w:pStyle w:val="ListParagraph"/>
        <w:numPr>
          <w:ilvl w:val="0"/>
          <w:numId w:val="17"/>
        </w:numPr>
        <w:spacing w:after="160" w:afterAutospacing="0" w:line="259" w:lineRule="auto"/>
      </w:pPr>
      <w:r>
        <w:t xml:space="preserve">EEF’s evidence said </w:t>
      </w:r>
      <w:r w:rsidRPr="005E4A4D">
        <w:rPr>
          <w:b/>
          <w:bCs/>
        </w:rPr>
        <w:t>effective tutoring should be additional to classroom teaching</w:t>
      </w:r>
      <w:r>
        <w:t>. But NFER’s data shows 63 per cent was booked to take place during lesson times only, followed by 19 per cent outside lessons times. Another 18 per cent had a mix of both. Almost two-thirds of school staff reported that reduced time spent by pupils in lessons was the most common challenge for the programme. Over a quarter – 26 per cent – of 777 staff said that tuition had led to pupils falling behind in lessons.</w:t>
      </w:r>
    </w:p>
    <w:p w14:paraId="2F9421F8" w14:textId="77777777" w:rsidR="00BB6036" w:rsidRDefault="00BB6036">
      <w:pPr>
        <w:pStyle w:val="ListParagraph"/>
        <w:numPr>
          <w:ilvl w:val="0"/>
          <w:numId w:val="17"/>
        </w:numPr>
        <w:spacing w:after="160" w:afterAutospacing="0" w:line="259" w:lineRule="auto"/>
      </w:pPr>
      <w:r w:rsidRPr="00733D8E">
        <w:t xml:space="preserve">NFER was unable to conclude whether </w:t>
      </w:r>
      <w:r w:rsidRPr="005E4A4D">
        <w:rPr>
          <w:b/>
          <w:bCs/>
        </w:rPr>
        <w:t>academic mentoring</w:t>
      </w:r>
      <w:r w:rsidRPr="00733D8E">
        <w:t xml:space="preserve"> – run by Teach First – had an impact due to the low number of pupil premium students taking part.</w:t>
      </w:r>
    </w:p>
    <w:p w14:paraId="60E7FC6F" w14:textId="77777777" w:rsidR="00BB6036" w:rsidRDefault="00BB6036">
      <w:pPr>
        <w:pStyle w:val="ListParagraph"/>
        <w:numPr>
          <w:ilvl w:val="0"/>
          <w:numId w:val="17"/>
        </w:numPr>
        <w:spacing w:after="160" w:afterAutospacing="0" w:line="259" w:lineRule="auto"/>
      </w:pPr>
      <w:r>
        <w:t xml:space="preserve">According to the research, the majority (74 per cent) of surveyed school leads and school staff were “very” or “somewhat” </w:t>
      </w:r>
      <w:r w:rsidRPr="005E4A4D">
        <w:rPr>
          <w:b/>
          <w:bCs/>
        </w:rPr>
        <w:t>satisfied</w:t>
      </w:r>
      <w:r>
        <w:t xml:space="preserve"> with the programme overall, and felt that it had met their expectations. And the report authors add that by the end of the programme, “the majority of school leads surveyed felt that the programme had ‘helped pupils catch up with their peers’” (81 per cent). However, they also stress that school staff were “reluctant” to attribute improvements in attainment solely to the programme, as they also had other interventions in place.</w:t>
      </w:r>
    </w:p>
    <w:p w14:paraId="251E04AC" w14:textId="262C79CE" w:rsidR="00BB6036" w:rsidRDefault="00BB6036" w:rsidP="00BB6036">
      <w:pPr>
        <w:spacing w:after="160" w:afterAutospacing="0" w:line="259" w:lineRule="auto"/>
        <w:rPr>
          <w:b/>
          <w:bCs/>
          <w:color w:val="00B0F0"/>
        </w:rPr>
      </w:pPr>
    </w:p>
    <w:p w14:paraId="1349AC7B" w14:textId="05BA04F7" w:rsidR="00BB6036" w:rsidRDefault="00BB6036" w:rsidP="00BB6036">
      <w:pPr>
        <w:spacing w:after="160" w:afterAutospacing="0" w:line="259" w:lineRule="auto"/>
        <w:rPr>
          <w:b/>
          <w:bCs/>
          <w:color w:val="00B0F0"/>
        </w:rPr>
      </w:pPr>
      <w:r>
        <w:rPr>
          <w:b/>
          <w:bCs/>
          <w:color w:val="00B0F0"/>
        </w:rPr>
        <w:t>Teacher pay and possible industrial action</w:t>
      </w:r>
    </w:p>
    <w:p w14:paraId="37BCDAED" w14:textId="77777777" w:rsidR="00A32872" w:rsidRDefault="00A32872">
      <w:pPr>
        <w:pStyle w:val="ListParagraph"/>
        <w:numPr>
          <w:ilvl w:val="0"/>
          <w:numId w:val="16"/>
        </w:numPr>
        <w:spacing w:after="160" w:afterAutospacing="0" w:line="259" w:lineRule="auto"/>
      </w:pPr>
      <w:r w:rsidRPr="00BE73F4">
        <w:rPr>
          <w:b/>
          <w:bCs/>
        </w:rPr>
        <w:t xml:space="preserve">The new pay scales for teachers and school leaders for 2022-23 </w:t>
      </w:r>
      <w:r w:rsidRPr="003B6DEF">
        <w:t xml:space="preserve">have been confirmed by the </w:t>
      </w:r>
      <w:r>
        <w:t>DfE</w:t>
      </w:r>
      <w:r w:rsidRPr="003B6DEF">
        <w:t>.</w:t>
      </w:r>
      <w:r>
        <w:t xml:space="preserve"> See </w:t>
      </w:r>
      <w:hyperlink r:id="rId31" w:history="1">
        <w:r w:rsidRPr="00085114">
          <w:rPr>
            <w:rStyle w:val="Hyperlink"/>
          </w:rPr>
          <w:t>https://assets.publishing.service.gov.uk/government/uploads/system/uploads/attachment_data/file/1110990/2022_STPCD.pdf</w:t>
        </w:r>
      </w:hyperlink>
      <w:r>
        <w:t xml:space="preserve">   For a useful summary, see </w:t>
      </w:r>
      <w:hyperlink r:id="rId32" w:history="1">
        <w:r w:rsidRPr="00085114">
          <w:rPr>
            <w:rStyle w:val="Hyperlink"/>
          </w:rPr>
          <w:t>https://schoolsweek.co.uk/pay-scales-for-teachers-and-leaders-in-england-from-september-2022/</w:t>
        </w:r>
      </w:hyperlink>
    </w:p>
    <w:p w14:paraId="1D3EA874" w14:textId="77777777" w:rsidR="003333E8" w:rsidRDefault="003333E8">
      <w:pPr>
        <w:pStyle w:val="ListParagraph"/>
        <w:numPr>
          <w:ilvl w:val="0"/>
          <w:numId w:val="16"/>
        </w:numPr>
        <w:spacing w:after="160" w:afterAutospacing="0" w:line="259" w:lineRule="auto"/>
      </w:pPr>
      <w:r>
        <w:t xml:space="preserve">The NASUWT and NEU will both </w:t>
      </w:r>
      <w:r w:rsidRPr="00BE73F4">
        <w:rPr>
          <w:b/>
          <w:bCs/>
        </w:rPr>
        <w:t>ballot members in schools for strike action over the government’s pay proposals</w:t>
      </w:r>
      <w:r>
        <w:t>.</w:t>
      </w:r>
    </w:p>
    <w:p w14:paraId="07D12663" w14:textId="77777777" w:rsidR="003333E8" w:rsidRDefault="003333E8">
      <w:pPr>
        <w:pStyle w:val="ListParagraph"/>
        <w:numPr>
          <w:ilvl w:val="0"/>
          <w:numId w:val="18"/>
        </w:numPr>
        <w:spacing w:after="160" w:afterAutospacing="0" w:line="259" w:lineRule="auto"/>
      </w:pPr>
      <w:r w:rsidRPr="00BE73F4">
        <w:rPr>
          <w:b/>
          <w:bCs/>
        </w:rPr>
        <w:t>NASUWT,</w:t>
      </w:r>
      <w:r>
        <w:t xml:space="preserve"> which has just over 300,000 teacher members, said its ballot followed ministers’ “failure” to give teachers and heads a “fully-funded real-terms pay award of 12 per cent”. It did not hold an indicative ballot, and has recommended that its members in schools and sixth form colleges vote in favour of both strike action and action short of a strike. Ballot papers will be issued to the union’s members from October 27, and the vote will close on January 9.</w:t>
      </w:r>
    </w:p>
    <w:p w14:paraId="7DBA58F0" w14:textId="77777777" w:rsidR="003333E8" w:rsidRDefault="003333E8">
      <w:pPr>
        <w:pStyle w:val="ListParagraph"/>
        <w:numPr>
          <w:ilvl w:val="0"/>
          <w:numId w:val="18"/>
        </w:numPr>
        <w:spacing w:after="160" w:afterAutospacing="0" w:line="259" w:lineRule="auto"/>
      </w:pPr>
      <w:r>
        <w:t xml:space="preserve">The </w:t>
      </w:r>
      <w:r w:rsidRPr="00BE73F4">
        <w:rPr>
          <w:b/>
          <w:bCs/>
        </w:rPr>
        <w:t>NEU</w:t>
      </w:r>
      <w:r>
        <w:t>, which represents around 450,000 educators, will formally ballot teacher and support staff members. It had given the education secretary until today to announce a fully-funded, above-inflation pay rise, but said it had received no answer. An indicative ballot of 261,522 teachers in the NEU found 86 per cent supported strike action on a 62 per cent turnout. A separate ballot of support staff had a turnout of 68 per cent, and 78 per cent said they would vote to strike. The union announced that formal ballots, which will ask if members are prepared to take strike action, will open on October 28 and close on January 13. Ballots will go out to around 300,000 teachers and support staff in England and Wales. Dates for potential strike action “are yet to be decided, but likely to be from week commencing January 30, 2023”.</w:t>
      </w:r>
    </w:p>
    <w:p w14:paraId="70F2D922" w14:textId="77777777" w:rsidR="003333E8" w:rsidRDefault="003333E8">
      <w:pPr>
        <w:pStyle w:val="ListParagraph"/>
        <w:numPr>
          <w:ilvl w:val="0"/>
          <w:numId w:val="18"/>
        </w:numPr>
        <w:spacing w:after="160" w:afterAutospacing="0" w:line="259" w:lineRule="auto"/>
      </w:pPr>
      <w:r>
        <w:t xml:space="preserve">The </w:t>
      </w:r>
      <w:r w:rsidRPr="00BE73F4">
        <w:rPr>
          <w:b/>
          <w:bCs/>
        </w:rPr>
        <w:t>NAHT</w:t>
      </w:r>
      <w:r>
        <w:t xml:space="preserve"> will ask its membership in England if they want to take industrial action over a pay deal worth 5 per cent to most teachers and leaders. The NAHT’s first ballot over pay in its 125-year history will ask members if they want to take action short of strike action, and whether they will take strike action. It follows a survey of 64 per cent of NAHT members, in which 84 per cent said they wanted to be balloted on action short of a strike “should a suitable agreement on pay and funding not be reached”. Fifty-five per cent said they wanted to be balloted on a full walkout. If these figures are repeated in a formal ballot, the union would meet strict thresholds for industrial action. Since 2016, unions have had to show 50 per cent turnout and 40 per cent support among voting members for action to be legal.</w:t>
      </w:r>
    </w:p>
    <w:p w14:paraId="2F80E790" w14:textId="77777777" w:rsidR="003333E8" w:rsidRDefault="003333E8">
      <w:pPr>
        <w:pStyle w:val="ListParagraph"/>
        <w:numPr>
          <w:ilvl w:val="0"/>
          <w:numId w:val="18"/>
        </w:numPr>
        <w:spacing w:after="160" w:afterAutospacing="0" w:line="259" w:lineRule="auto"/>
      </w:pPr>
      <w:r>
        <w:t xml:space="preserve">Earlier this month </w:t>
      </w:r>
      <w:r w:rsidRPr="00BE73F4">
        <w:rPr>
          <w:b/>
          <w:bCs/>
        </w:rPr>
        <w:t>ASCL</w:t>
      </w:r>
      <w:r>
        <w:t xml:space="preserve"> released the results of its survey of school leaders, which asked whether the union should run an indicative ballot for action short of strike action and an indicative ballot on strike action. Half of the school leaders surveyed said the union should run an indicative ballot on strike action, but half of the respondents said the union should not take this step.</w:t>
      </w:r>
    </w:p>
    <w:p w14:paraId="7F403CAD" w14:textId="77777777" w:rsidR="003333E8" w:rsidRDefault="003333E8">
      <w:pPr>
        <w:pStyle w:val="ListParagraph"/>
        <w:numPr>
          <w:ilvl w:val="0"/>
          <w:numId w:val="18"/>
        </w:numPr>
        <w:spacing w:after="160" w:afterAutospacing="0" w:line="259" w:lineRule="auto"/>
      </w:pPr>
      <w:r>
        <w:t xml:space="preserve">In a survey by the NASUWT of more than 2,000 adults in the UK, including parents, those with children under the age of 18 were more likely than those without children to </w:t>
      </w:r>
      <w:r w:rsidRPr="00BE73F4">
        <w:rPr>
          <w:b/>
          <w:bCs/>
        </w:rPr>
        <w:t>support teachers taking industrial action</w:t>
      </w:r>
      <w:r>
        <w:t>, with 64 per cent of parents saying such a move would be justified.  The support for teachers was highest among parents with children aged 5 to 10, with 72 per cent in this demographic saying teachers would be justified in taking industrial action.</w:t>
      </w:r>
    </w:p>
    <w:p w14:paraId="4C5D2968" w14:textId="66080C62" w:rsidR="00BB6036" w:rsidRDefault="00BB6036" w:rsidP="00BB6036">
      <w:pPr>
        <w:spacing w:after="160" w:afterAutospacing="0" w:line="259" w:lineRule="auto"/>
        <w:rPr>
          <w:b/>
          <w:bCs/>
          <w:color w:val="00B0F0"/>
        </w:rPr>
      </w:pPr>
    </w:p>
    <w:p w14:paraId="5DD001E9" w14:textId="0EDD5561" w:rsidR="003333E8" w:rsidRDefault="003333E8" w:rsidP="00BB6036">
      <w:pPr>
        <w:spacing w:after="160" w:afterAutospacing="0" w:line="259" w:lineRule="auto"/>
        <w:rPr>
          <w:b/>
          <w:bCs/>
          <w:color w:val="00B0F0"/>
        </w:rPr>
      </w:pPr>
      <w:r>
        <w:rPr>
          <w:b/>
          <w:bCs/>
          <w:color w:val="00B0F0"/>
        </w:rPr>
        <w:t>School finances</w:t>
      </w:r>
    </w:p>
    <w:p w14:paraId="20F7E988" w14:textId="40F545D6" w:rsidR="00C56009" w:rsidRPr="0009572D" w:rsidRDefault="00C56009">
      <w:pPr>
        <w:pStyle w:val="ListParagraph"/>
        <w:numPr>
          <w:ilvl w:val="0"/>
          <w:numId w:val="16"/>
        </w:numPr>
        <w:spacing w:after="160" w:afterAutospacing="0" w:line="259" w:lineRule="auto"/>
        <w:rPr>
          <w:rStyle w:val="Hyperlink"/>
          <w:color w:val="auto"/>
          <w:u w:val="none"/>
        </w:rPr>
      </w:pPr>
      <w:r>
        <w:t>ESFA has issued “</w:t>
      </w:r>
      <w:r w:rsidRPr="008F0401">
        <w:t xml:space="preserve">Guidance for schools and local authorities on the </w:t>
      </w:r>
      <w:r w:rsidRPr="005E4A4D">
        <w:rPr>
          <w:b/>
          <w:bCs/>
        </w:rPr>
        <w:t>schools supplementary grant for 2022 to 2023</w:t>
      </w:r>
      <w:r>
        <w:t>”</w:t>
      </w:r>
      <w:r w:rsidRPr="008F0401">
        <w:t>.</w:t>
      </w:r>
      <w:r>
        <w:t xml:space="preserve"> See </w:t>
      </w:r>
      <w:hyperlink r:id="rId33" w:history="1">
        <w:r w:rsidRPr="00D909FD">
          <w:rPr>
            <w:rStyle w:val="Hyperlink"/>
          </w:rPr>
          <w:t>https://www.gov.uk/government/publications/schools-supplementary-grant-2022-to-2023</w:t>
        </w:r>
      </w:hyperlink>
    </w:p>
    <w:p w14:paraId="1C84FB9C" w14:textId="376400CA" w:rsidR="0009572D" w:rsidRDefault="0009572D" w:rsidP="0009572D">
      <w:pPr>
        <w:spacing w:after="160" w:afterAutospacing="0" w:line="259" w:lineRule="auto"/>
      </w:pPr>
    </w:p>
    <w:p w14:paraId="127F18A2" w14:textId="640D47CD" w:rsidR="0009572D" w:rsidRPr="008240F5" w:rsidRDefault="0009572D">
      <w:pPr>
        <w:pStyle w:val="ListParagraph"/>
        <w:numPr>
          <w:ilvl w:val="0"/>
          <w:numId w:val="16"/>
        </w:numPr>
        <w:spacing w:after="160" w:afterAutospacing="0" w:line="259" w:lineRule="auto"/>
        <w:rPr>
          <w:rStyle w:val="Hyperlink"/>
          <w:color w:val="auto"/>
          <w:u w:val="none"/>
        </w:rPr>
      </w:pPr>
      <w:r>
        <w:t>ESFA has issued “</w:t>
      </w:r>
      <w:r w:rsidRPr="001A3CB0">
        <w:t xml:space="preserve">Information for local authorities, schools and colleges about </w:t>
      </w:r>
      <w:r w:rsidRPr="0009572D">
        <w:rPr>
          <w:b/>
          <w:bCs/>
        </w:rPr>
        <w:t>high needs funding arrangements for the 2023 to</w:t>
      </w:r>
      <w:r w:rsidRPr="001A3CB0">
        <w:t xml:space="preserve"> </w:t>
      </w:r>
      <w:r w:rsidRPr="0009572D">
        <w:rPr>
          <w:b/>
          <w:bCs/>
        </w:rPr>
        <w:t>2024</w:t>
      </w:r>
      <w:r w:rsidRPr="001A3CB0">
        <w:t xml:space="preserve"> financial and academic year</w:t>
      </w:r>
      <w:r>
        <w:t>”</w:t>
      </w:r>
      <w:r w:rsidRPr="001A3CB0">
        <w:t>.</w:t>
      </w:r>
      <w:r>
        <w:t xml:space="preserve"> See </w:t>
      </w:r>
      <w:hyperlink r:id="rId34" w:history="1">
        <w:r w:rsidRPr="00D909FD">
          <w:rPr>
            <w:rStyle w:val="Hyperlink"/>
          </w:rPr>
          <w:t>https://www.gov.uk/government/publications/high-needs-funding-arrangements-2023-to-2024</w:t>
        </w:r>
      </w:hyperlink>
    </w:p>
    <w:p w14:paraId="46D81314" w14:textId="77777777" w:rsidR="008240F5" w:rsidRPr="008240F5" w:rsidRDefault="008240F5" w:rsidP="008240F5">
      <w:pPr>
        <w:pStyle w:val="ListParagraph"/>
        <w:rPr>
          <w:rStyle w:val="Hyperlink"/>
          <w:color w:val="auto"/>
          <w:u w:val="none"/>
        </w:rPr>
      </w:pPr>
    </w:p>
    <w:p w14:paraId="6CEC5C16" w14:textId="77777777" w:rsidR="008240F5" w:rsidRDefault="008240F5">
      <w:pPr>
        <w:pStyle w:val="ListParagraph"/>
        <w:numPr>
          <w:ilvl w:val="0"/>
          <w:numId w:val="16"/>
        </w:numPr>
        <w:spacing w:after="160" w:afterAutospacing="0" w:line="259" w:lineRule="auto"/>
      </w:pPr>
      <w:r>
        <w:t>The DfE has issued “</w:t>
      </w:r>
      <w:r w:rsidRPr="003401EB">
        <w:t xml:space="preserve">Information on how local authorities can </w:t>
      </w:r>
      <w:r w:rsidRPr="005E4A4D">
        <w:rPr>
          <w:b/>
          <w:bCs/>
        </w:rPr>
        <w:t>manage their high needs systems</w:t>
      </w:r>
      <w:r w:rsidRPr="003401EB">
        <w:t xml:space="preserve"> and associated spending in a sustainable way</w:t>
      </w:r>
      <w:r>
        <w:t>”</w:t>
      </w:r>
      <w:r w:rsidRPr="003401EB">
        <w:t>.</w:t>
      </w:r>
      <w:r>
        <w:t xml:space="preserve"> See </w:t>
      </w:r>
      <w:hyperlink r:id="rId35" w:history="1">
        <w:r w:rsidRPr="00470945">
          <w:rPr>
            <w:rStyle w:val="Hyperlink"/>
          </w:rPr>
          <w:t>https://www.gov.uk/government/publications/creating-sustainable-high-needs-systems</w:t>
        </w:r>
      </w:hyperlink>
    </w:p>
    <w:p w14:paraId="6C886002" w14:textId="77777777" w:rsidR="008240F5" w:rsidRPr="008240F5" w:rsidRDefault="008240F5" w:rsidP="008240F5">
      <w:pPr>
        <w:spacing w:after="160" w:afterAutospacing="0" w:line="259" w:lineRule="auto"/>
        <w:ind w:left="0"/>
        <w:rPr>
          <w:rStyle w:val="Hyperlink"/>
          <w:color w:val="auto"/>
          <w:u w:val="none"/>
        </w:rPr>
      </w:pPr>
    </w:p>
    <w:p w14:paraId="39115C1A" w14:textId="77777777" w:rsidR="00445819" w:rsidRDefault="00445819" w:rsidP="00445819">
      <w:pPr>
        <w:pStyle w:val="ListParagraph"/>
      </w:pPr>
    </w:p>
    <w:p w14:paraId="6CC80C37" w14:textId="77777777" w:rsidR="00445819" w:rsidRDefault="00445819">
      <w:pPr>
        <w:pStyle w:val="ListParagraph"/>
        <w:numPr>
          <w:ilvl w:val="0"/>
          <w:numId w:val="16"/>
        </w:numPr>
        <w:spacing w:after="160" w:afterAutospacing="0" w:line="259" w:lineRule="auto"/>
      </w:pPr>
      <w:r w:rsidRPr="00685E40">
        <w:t>The new chancellor</w:t>
      </w:r>
      <w:r>
        <w:t xml:space="preserve"> has</w:t>
      </w:r>
      <w:r w:rsidRPr="00685E40">
        <w:t xml:space="preserve"> warned that “all departments will need to redouble their efforts to find savings, and some </w:t>
      </w:r>
      <w:r w:rsidRPr="00BE73F4">
        <w:rPr>
          <w:b/>
          <w:bCs/>
        </w:rPr>
        <w:t>areas of spending will need to be cut</w:t>
      </w:r>
      <w:r w:rsidRPr="00685E40">
        <w:t>”</w:t>
      </w:r>
      <w:r>
        <w:t xml:space="preserve">. </w:t>
      </w:r>
      <w:r w:rsidRPr="003039F5">
        <w:t>It follows reports over the weekend that government departments were due to be asked to find savings of between 10 and 15 per cent of their capital budgets, and 2 per cent savings in revenue budgets. However, this was before Kwarteng was sacked</w:t>
      </w:r>
      <w:r>
        <w:t xml:space="preserve"> and reports say Hunt intends to go further. A 2 per cent resource cut would see the DfE’s total budget slashed by £1.8 billion. A 2 per cent cut to the core schools’ budget as it stood in 2021-22 would equal £996 million, or the equivalent of more than 18,000 teachers. A 15 per cent capital cut to the DfE’s budget would amount to around £840 million. Unions have also called for urgent clarification on energy costs support after the chancellor announced universal help for households would end earlier than planned.</w:t>
      </w:r>
    </w:p>
    <w:p w14:paraId="518997EF" w14:textId="77777777" w:rsidR="00445819" w:rsidRDefault="00445819" w:rsidP="00445819">
      <w:pPr>
        <w:pStyle w:val="ListParagraph"/>
      </w:pPr>
    </w:p>
    <w:p w14:paraId="269692B4" w14:textId="77777777" w:rsidR="00445819" w:rsidRDefault="00445819" w:rsidP="00445819">
      <w:pPr>
        <w:pStyle w:val="ListParagraph"/>
      </w:pPr>
    </w:p>
    <w:p w14:paraId="7986C5EC" w14:textId="77777777" w:rsidR="00445819" w:rsidRDefault="00445819">
      <w:pPr>
        <w:pStyle w:val="ListParagraph"/>
        <w:numPr>
          <w:ilvl w:val="0"/>
          <w:numId w:val="16"/>
        </w:numPr>
        <w:spacing w:after="160" w:afterAutospacing="0" w:line="259" w:lineRule="auto"/>
      </w:pPr>
      <w:r w:rsidRPr="00BE73F4">
        <w:rPr>
          <w:b/>
          <w:bCs/>
        </w:rPr>
        <w:t>Exam fees are due to rise</w:t>
      </w:r>
      <w:r>
        <w:t>:</w:t>
      </w:r>
    </w:p>
    <w:p w14:paraId="132A8876" w14:textId="77777777" w:rsidR="00445819" w:rsidRDefault="00445819">
      <w:pPr>
        <w:pStyle w:val="ListParagraph"/>
        <w:numPr>
          <w:ilvl w:val="0"/>
          <w:numId w:val="19"/>
        </w:numPr>
        <w:spacing w:after="160" w:afterAutospacing="0" w:line="259" w:lineRule="auto"/>
      </w:pPr>
      <w:r>
        <w:t xml:space="preserve">Both </w:t>
      </w:r>
      <w:r w:rsidRPr="00BE73F4">
        <w:rPr>
          <w:b/>
          <w:bCs/>
        </w:rPr>
        <w:t>Edexcel</w:t>
      </w:r>
      <w:r>
        <w:t xml:space="preserve">, run by Pearson, and </w:t>
      </w:r>
      <w:r w:rsidRPr="00BE73F4">
        <w:rPr>
          <w:b/>
          <w:bCs/>
        </w:rPr>
        <w:t>OCR</w:t>
      </w:r>
      <w:r>
        <w:t xml:space="preserve"> have raised fees for all 2023 exams by a flat 6 per cent. With Edexcel, the cost of a maths GCSE is now £46.80 compared to £44 last year. Across nine subjects for 200 year 11s, this works out an extra £5,060 – or £35,420 for a trust with seven secondary schools. For OCR, A maths GCSE now costs £47, up from £44.25. With similar entry rates to last year across nine GCSE subjects, this would see OCR gain an extra £383,000.</w:t>
      </w:r>
    </w:p>
    <w:p w14:paraId="3F68F87B" w14:textId="3AAF9C94" w:rsidR="00445819" w:rsidRDefault="00445819">
      <w:pPr>
        <w:pStyle w:val="ListParagraph"/>
        <w:numPr>
          <w:ilvl w:val="0"/>
          <w:numId w:val="19"/>
        </w:numPr>
        <w:spacing w:after="160" w:afterAutospacing="0" w:line="259" w:lineRule="auto"/>
      </w:pPr>
      <w:r w:rsidRPr="00445819">
        <w:rPr>
          <w:b/>
          <w:bCs/>
        </w:rPr>
        <w:t xml:space="preserve">AQA </w:t>
      </w:r>
      <w:r>
        <w:t xml:space="preserve">has increased prices by between five and 17 per cent, although it is still has the lowest prices overall. It </w:t>
      </w:r>
      <w:r w:rsidRPr="00CD5624">
        <w:t xml:space="preserve">has </w:t>
      </w:r>
      <w:r>
        <w:t>raised</w:t>
      </w:r>
      <w:r w:rsidRPr="00CD5624">
        <w:t xml:space="preserve"> prices for A-level art by 17 per cent – from £89.65 to £105.10. Other subjects have seen rises of between 5 and 12 per cent.</w:t>
      </w:r>
      <w:r>
        <w:t xml:space="preserve"> </w:t>
      </w:r>
      <w:r w:rsidRPr="007A5FA9">
        <w:t>Fees for A-level biology, chemistry and physics have risen by 10 per cent while GCSE geography and art have risen by 12 per cent. A maths GCSE now costs £41.20, up from £39.15.</w:t>
      </w:r>
      <w:r>
        <w:t xml:space="preserve"> </w:t>
      </w:r>
      <w:r w:rsidRPr="00585E90">
        <w:t>It means an average-size secondary, with 200 year 11s taking nine of the most popular GCSEs with AQA could pay an extra £4,840. This would cost around £30,000 for an average multi-academy trust with seven secondary schools</w:t>
      </w:r>
    </w:p>
    <w:p w14:paraId="7E16B2B4" w14:textId="6655030C" w:rsidR="00D641E7" w:rsidRDefault="00D641E7" w:rsidP="00D641E7">
      <w:pPr>
        <w:spacing w:after="160" w:afterAutospacing="0" w:line="259" w:lineRule="auto"/>
      </w:pPr>
    </w:p>
    <w:p w14:paraId="76CFEA60" w14:textId="77777777" w:rsidR="00D641E7" w:rsidRDefault="00D641E7">
      <w:pPr>
        <w:pStyle w:val="ListParagraph"/>
        <w:numPr>
          <w:ilvl w:val="0"/>
          <w:numId w:val="8"/>
        </w:numPr>
        <w:spacing w:after="160" w:afterAutospacing="0" w:line="259" w:lineRule="auto"/>
      </w:pPr>
      <w:r>
        <w:t xml:space="preserve">As many as half of all the </w:t>
      </w:r>
      <w:r w:rsidRPr="00F00FF8">
        <w:rPr>
          <w:b/>
          <w:bCs/>
        </w:rPr>
        <w:t>maintained schools</w:t>
      </w:r>
      <w:r>
        <w:t xml:space="preserve"> in some areas are expected to </w:t>
      </w:r>
      <w:r w:rsidRPr="00325AC8">
        <w:rPr>
          <w:b/>
          <w:bCs/>
        </w:rPr>
        <w:t>go into financial deficit this year</w:t>
      </w:r>
      <w:r>
        <w:t xml:space="preserve">, putting councils in an “utterly untenable and unsustainable” position and “jeopardising” education. Policy experts said the dire situation could “force” local authorities to “relinquish” their maintained schools to balance the books, with the government keen for new powers to allow academy conversions en-masse. Latest figures from the DfE show 8.4 per cent of local authority-maintained schools nationally were in deficit last year. Academies were much better off, with only 2.6 per cent of trusts reporting they were in deficit in 2021. The Local Government Association said that “many schools” were concerned about their financial stability as rising costs of fuel, energy and school meals ate into budgets, alongside the need to fund the teacher pay rise. “This comes as the financial sustainability of councils and local services is already at a cliff-edge, with the dramatic increase in inflation undermining councils’ budgets,” a spokesperson said. LAs </w:t>
      </w:r>
      <w:r w:rsidRPr="00F00FF8">
        <w:t>do not have any spare cash to bail out schools that are suffering financial hardship</w:t>
      </w:r>
      <w:r>
        <w:t>.</w:t>
      </w:r>
    </w:p>
    <w:p w14:paraId="6662C943" w14:textId="30B8740C" w:rsidR="00D641E7" w:rsidRDefault="00D641E7" w:rsidP="00D641E7">
      <w:pPr>
        <w:spacing w:after="160" w:afterAutospacing="0" w:line="259" w:lineRule="auto"/>
      </w:pPr>
    </w:p>
    <w:p w14:paraId="2F48C21C" w14:textId="5612F69F" w:rsidR="00D641E7" w:rsidRDefault="00D641E7" w:rsidP="00D641E7">
      <w:pPr>
        <w:spacing w:after="160" w:afterAutospacing="0" w:line="259" w:lineRule="auto"/>
        <w:rPr>
          <w:b/>
          <w:bCs/>
          <w:color w:val="00B0F0"/>
        </w:rPr>
      </w:pPr>
      <w:r w:rsidRPr="00D641E7">
        <w:rPr>
          <w:b/>
          <w:bCs/>
          <w:color w:val="00B0F0"/>
        </w:rPr>
        <w:t>Teacher recruitment and training</w:t>
      </w:r>
    </w:p>
    <w:p w14:paraId="0AB99830" w14:textId="77777777" w:rsidR="00500ACC" w:rsidRDefault="00500ACC">
      <w:pPr>
        <w:pStyle w:val="ListParagraph"/>
        <w:numPr>
          <w:ilvl w:val="0"/>
          <w:numId w:val="8"/>
        </w:numPr>
        <w:spacing w:after="160" w:afterAutospacing="0" w:line="259" w:lineRule="auto"/>
      </w:pPr>
      <w:r w:rsidRPr="0098565A">
        <w:rPr>
          <w:b/>
          <w:bCs/>
        </w:rPr>
        <w:t>School spending on staff development</w:t>
      </w:r>
      <w:r>
        <w:t xml:space="preserve"> fell from £630 per teacher in 2018 to under £400 three years later, as budget lines were “squeezed” by increasing the proportion spent on staffing, analysis shows. </w:t>
      </w:r>
      <w:r w:rsidRPr="006E0B52">
        <w:t>In 2014, SchoolDash analysis found that just over 75 per cent of school budgets went on staff, but by 2021 this had risen to nearly 80 per cent.</w:t>
      </w:r>
      <w:r>
        <w:t xml:space="preserve"> Analysis by SchoolDash reveals that per-teacher spending on staff development and training in mainstream state schools was at 63 per cent of the 2018 figure last year, in cash terms. When you account for inflation, spending last year was at under 60 per cent of 2018 levels, which SchoolDash notes was from “an already low base”. And the gap between spending in primary and secondary schools has narrowed, with primaries spending £725 per teacher back in 2018, falling to £424 last year - compared with a fall from £528 to £371 in secondaries. The analysis shows that the spending equalled just £20 per pupil in 2021, which equates to 0.3 to 0.4 per cent of school budgets. And while spending tended to be higher at academies, large multi-academy trusts and rural schools, all types of mainstream state schools saw reductions in their spend over the period. See </w:t>
      </w:r>
      <w:hyperlink r:id="rId36" w:history="1">
        <w:r w:rsidRPr="00F61053">
          <w:rPr>
            <w:rStyle w:val="Hyperlink"/>
          </w:rPr>
          <w:t>https://www.schooldash.com/blog.html</w:t>
        </w:r>
      </w:hyperlink>
      <w:r>
        <w:t xml:space="preserve"> </w:t>
      </w:r>
    </w:p>
    <w:p w14:paraId="0D102921" w14:textId="77777777" w:rsidR="00500ACC" w:rsidRDefault="00500ACC" w:rsidP="00500ACC"/>
    <w:p w14:paraId="4006999A" w14:textId="5A2841F2" w:rsidR="00500ACC" w:rsidRDefault="00500ACC">
      <w:pPr>
        <w:pStyle w:val="ListParagraph"/>
        <w:numPr>
          <w:ilvl w:val="0"/>
          <w:numId w:val="8"/>
        </w:numPr>
        <w:spacing w:after="160" w:afterAutospacing="0" w:line="259" w:lineRule="auto"/>
      </w:pPr>
      <w:r>
        <w:t xml:space="preserve">In a new report from Teacher Tapp and the Gatsby Foundation, a survey of 300 </w:t>
      </w:r>
      <w:r w:rsidRPr="007E4FFF">
        <w:rPr>
          <w:b/>
          <w:bCs/>
        </w:rPr>
        <w:t>ECTs,</w:t>
      </w:r>
      <w:r>
        <w:t xml:space="preserve"> around 500 of their </w:t>
      </w:r>
      <w:r w:rsidRPr="007E4FFF">
        <w:rPr>
          <w:b/>
          <w:bCs/>
        </w:rPr>
        <w:t>mentors</w:t>
      </w:r>
      <w:r>
        <w:t xml:space="preserve"> and over 1,000 senior leaders, found just 13 per cent and 6 per cent of secondary and primary mentors respectively believed the ECF would increase retention. Just one in 10 ECTs and mentors thought the training was a “good use of time”. 72 per cent of ECTs felt the framework added to their workload. While the report highlighted that ECTs “arguably do not have a good reference point since they were not in the profession prior to the reform”, it also found that 65 per cent of mentors think the framework “adds too much to the workload of the ECF”.  And almost six in 10 mentors (59 per cent) said their workload is too high as a result. Half of ECTs thought “further specialisation of self-study material should be a priority”. Only 2 per cent of mentors and 4 per cent of ECTs said the self-study material was “specialised to their subject or phase”.  Meanwhile, only a third of ECTs said the self-study materials were clear and a quarter felt they gave good advice. </w:t>
      </w:r>
      <w:r w:rsidRPr="00B317F1">
        <w:t>More than half of mentors thought a “weakness” of the ECF was that it is not subject- or phase-specific enough.</w:t>
      </w:r>
      <w:r>
        <w:t xml:space="preserve"> See </w:t>
      </w:r>
      <w:hyperlink r:id="rId37" w:history="1">
        <w:r w:rsidRPr="00F61053">
          <w:rPr>
            <w:rStyle w:val="Hyperlink"/>
          </w:rPr>
          <w:t>https://teachertapp.co.uk/wp-content/uploads/2022/10/2022-10-Early-Career-Framework-TT-Gatsby-Final.pdf</w:t>
        </w:r>
      </w:hyperlink>
      <w:r>
        <w:t xml:space="preserve"> </w:t>
      </w:r>
    </w:p>
    <w:p w14:paraId="5576C3F8" w14:textId="71656817" w:rsidR="0081146C" w:rsidRDefault="0081146C" w:rsidP="0081146C">
      <w:pPr>
        <w:spacing w:after="160" w:afterAutospacing="0" w:line="259" w:lineRule="auto"/>
      </w:pPr>
    </w:p>
    <w:p w14:paraId="5C047902" w14:textId="77777777" w:rsidR="0081146C" w:rsidRDefault="0081146C">
      <w:pPr>
        <w:pStyle w:val="ListParagraph"/>
        <w:numPr>
          <w:ilvl w:val="0"/>
          <w:numId w:val="16"/>
        </w:numPr>
        <w:spacing w:after="160" w:afterAutospacing="0" w:line="259" w:lineRule="auto"/>
      </w:pPr>
      <w:r>
        <w:t>The DfE has issued “</w:t>
      </w:r>
      <w:r w:rsidRPr="00BE73F4">
        <w:rPr>
          <w:b/>
          <w:bCs/>
        </w:rPr>
        <w:t>Treating candidates fairly when you recruit trainee teachers</w:t>
      </w:r>
      <w:r>
        <w:t xml:space="preserve">”. See </w:t>
      </w:r>
      <w:hyperlink r:id="rId38" w:history="1">
        <w:r w:rsidRPr="00085114">
          <w:rPr>
            <w:rStyle w:val="Hyperlink"/>
          </w:rPr>
          <w:t>https://www.gov.uk/guidance/treating-candidates-fairly-when-you-recruit-trainee-teachers</w:t>
        </w:r>
      </w:hyperlink>
    </w:p>
    <w:p w14:paraId="5A5723C7" w14:textId="6D1B9984" w:rsidR="0081146C" w:rsidRPr="002F72F7" w:rsidRDefault="00285FF5">
      <w:pPr>
        <w:pStyle w:val="ListParagraph"/>
        <w:numPr>
          <w:ilvl w:val="0"/>
          <w:numId w:val="16"/>
        </w:numPr>
        <w:spacing w:after="160" w:afterAutospacing="0" w:line="259" w:lineRule="auto"/>
        <w:rPr>
          <w:rStyle w:val="Hyperlink"/>
          <w:color w:val="auto"/>
          <w:u w:val="none"/>
        </w:rPr>
      </w:pPr>
      <w:r>
        <w:t>The DfE has issued “</w:t>
      </w:r>
      <w:r w:rsidRPr="00CC59D4">
        <w:t xml:space="preserve">The criteria that organisations must meet to provide </w:t>
      </w:r>
      <w:r w:rsidRPr="00285FF5">
        <w:rPr>
          <w:b/>
          <w:bCs/>
        </w:rPr>
        <w:t>international qualified teacher status</w:t>
      </w:r>
      <w:r w:rsidRPr="00CC59D4">
        <w:t xml:space="preserve"> (iQTS) for applicants training outside the UK</w:t>
      </w:r>
      <w:r>
        <w:t>”</w:t>
      </w:r>
      <w:r w:rsidRPr="00CC59D4">
        <w:t>.</w:t>
      </w:r>
      <w:r>
        <w:t xml:space="preserve"> See </w:t>
      </w:r>
      <w:hyperlink r:id="rId39" w:history="1">
        <w:r w:rsidRPr="00D909FD">
          <w:rPr>
            <w:rStyle w:val="Hyperlink"/>
          </w:rPr>
          <w:t>https://www.gov.uk/search/all?organisations%5B%5D=department-for-education&amp;order=updated-newest&amp;parent=department-for-education</w:t>
        </w:r>
      </w:hyperlink>
      <w:r>
        <w:t xml:space="preserve">     </w:t>
      </w:r>
      <w:hyperlink r:id="rId40" w:history="1">
        <w:r w:rsidRPr="00D909FD">
          <w:rPr>
            <w:rStyle w:val="Hyperlink"/>
          </w:rPr>
          <w:t>https://www.gov.uk/government/publications/international-qualified-teacher-status-iqts</w:t>
        </w:r>
      </w:hyperlink>
    </w:p>
    <w:p w14:paraId="56DD49BF" w14:textId="015C3596" w:rsidR="002F72F7" w:rsidRDefault="002F72F7" w:rsidP="002F72F7">
      <w:pPr>
        <w:spacing w:after="160" w:afterAutospacing="0" w:line="259" w:lineRule="auto"/>
      </w:pPr>
    </w:p>
    <w:p w14:paraId="498064DA" w14:textId="75FF7B7A" w:rsidR="002F72F7" w:rsidRPr="00365F65" w:rsidRDefault="002F72F7">
      <w:pPr>
        <w:pStyle w:val="ListParagraph"/>
        <w:numPr>
          <w:ilvl w:val="0"/>
          <w:numId w:val="16"/>
        </w:numPr>
        <w:spacing w:after="160" w:afterAutospacing="0" w:line="259" w:lineRule="auto"/>
        <w:rPr>
          <w:rStyle w:val="Hyperlink"/>
          <w:color w:val="auto"/>
          <w:u w:val="none"/>
        </w:rPr>
      </w:pPr>
      <w:r>
        <w:t>The DfE has updated a l</w:t>
      </w:r>
      <w:r w:rsidRPr="00F7335B">
        <w:t xml:space="preserve">ist of </w:t>
      </w:r>
      <w:r w:rsidRPr="002F72F7">
        <w:rPr>
          <w:b/>
          <w:bCs/>
        </w:rPr>
        <w:t>early years initial teacher training (ITT) providers</w:t>
      </w:r>
      <w:r w:rsidRPr="00F7335B">
        <w:t>.</w:t>
      </w:r>
      <w:r>
        <w:t xml:space="preserve"> See </w:t>
      </w:r>
      <w:hyperlink r:id="rId41" w:history="1">
        <w:r w:rsidRPr="00772C47">
          <w:rPr>
            <w:rStyle w:val="Hyperlink"/>
          </w:rPr>
          <w:t>https://www.gov.uk/government/publications/early-years-initial-teacher-training-itt-providers-and-school-direct-early-years-lead-organisations</w:t>
        </w:r>
      </w:hyperlink>
    </w:p>
    <w:p w14:paraId="240A509E" w14:textId="77777777" w:rsidR="00365F65" w:rsidRDefault="00365F65" w:rsidP="00365F65">
      <w:pPr>
        <w:pStyle w:val="ListParagraph"/>
      </w:pPr>
    </w:p>
    <w:p w14:paraId="71EE3956" w14:textId="77777777" w:rsidR="00365F65" w:rsidRDefault="00365F65">
      <w:pPr>
        <w:pStyle w:val="ListParagraph"/>
        <w:numPr>
          <w:ilvl w:val="0"/>
          <w:numId w:val="16"/>
        </w:numPr>
        <w:spacing w:after="160" w:afterAutospacing="0" w:line="259" w:lineRule="auto"/>
      </w:pPr>
      <w:r>
        <w:t xml:space="preserve">Plans to explore a new scheme to </w:t>
      </w:r>
      <w:r w:rsidRPr="00077899">
        <w:rPr>
          <w:b/>
          <w:bCs/>
        </w:rPr>
        <w:t>build teacher housing on school sites</w:t>
      </w:r>
      <w:r>
        <w:t xml:space="preserve"> to help with recruitment have been dropped by the government. DfE officials say this is owing to “lack of demand”, despite repeated warnings from senior political and education figures that a lack of affordable housing near schools is hitting teacher supply. It is understood that </w:t>
      </w:r>
      <w:r w:rsidRPr="0039682C">
        <w:t>several multi-academy trusts would be interested in building teacher housing on their land, but sources point to hurdles such as local planning rules, the potential need for funding deals with other parts of the public sector, and restrictions over the sale of designated playing fields.</w:t>
      </w:r>
    </w:p>
    <w:p w14:paraId="65310143" w14:textId="6EAC5290" w:rsidR="00365F65" w:rsidRDefault="00365F65" w:rsidP="00365F65">
      <w:pPr>
        <w:spacing w:after="160" w:afterAutospacing="0" w:line="259" w:lineRule="auto"/>
        <w:ind w:left="0"/>
      </w:pPr>
    </w:p>
    <w:p w14:paraId="63E83E4B" w14:textId="222B913D" w:rsidR="00365F65" w:rsidRDefault="00365F65" w:rsidP="00365F65">
      <w:pPr>
        <w:spacing w:after="160" w:afterAutospacing="0" w:line="259" w:lineRule="auto"/>
        <w:ind w:left="0"/>
        <w:rPr>
          <w:b/>
          <w:bCs/>
          <w:color w:val="00B0F0"/>
        </w:rPr>
      </w:pPr>
      <w:r w:rsidRPr="00365F65">
        <w:rPr>
          <w:b/>
          <w:bCs/>
          <w:color w:val="00B0F0"/>
        </w:rPr>
        <w:t>Welfare of young people</w:t>
      </w:r>
    </w:p>
    <w:p w14:paraId="45DF2D7E" w14:textId="77777777" w:rsidR="00527F08" w:rsidRDefault="00527F08">
      <w:pPr>
        <w:pStyle w:val="ListParagraph"/>
        <w:numPr>
          <w:ilvl w:val="0"/>
          <w:numId w:val="8"/>
        </w:numPr>
        <w:spacing w:after="160" w:afterAutospacing="0" w:line="259" w:lineRule="auto"/>
      </w:pPr>
      <w:r w:rsidRPr="00506D7F">
        <w:rPr>
          <w:b/>
          <w:bCs/>
        </w:rPr>
        <w:t>Anyone who works with children and does not report child sexual abuse should be prosecuted</w:t>
      </w:r>
      <w:r>
        <w:t>, the final report of t</w:t>
      </w:r>
      <w:r w:rsidRPr="00ED4397">
        <w:t>he Independent Inquiry into Child Sexual Abuse (IICSA)</w:t>
      </w:r>
      <w:r>
        <w:t xml:space="preserve"> has recommended. It called the nature and scale of abuse in England and Wales "horrific and deeply disturbing" with children "threatened, beaten and humiliated".  found there were “limitations on an inspectorate’s ability to judge the adequacy” of schools’ child protection approaches. The current inspection system may also “lead to false assurances about children’s safety”, it warned. Despite an “enhanced focus” on safeguarding in the 21st century, the inquiry found that schools were “not as safe for children as they should be, and children’s interests do not always come first when allegations or concerns of sexual abuse arise”. </w:t>
      </w:r>
      <w:r w:rsidRPr="00BA3353">
        <w:t>The inquiry identified “many shortcomings” in current systems of protection, regulation, oversight and enforcement, including the scope and practical operation of the DBS scheme, workforce regulation, inspection systems and standards.</w:t>
      </w:r>
      <w:r>
        <w:t xml:space="preserve"> </w:t>
      </w:r>
      <w:r w:rsidRPr="0046372F">
        <w:t>Some school staff “were reluctant to report concerns, in part fearful of the consequences of doing so”. When concerns were raised, they were “not always referred to statutory authorities when they should have been”.</w:t>
      </w:r>
      <w:r>
        <w:t xml:space="preserve"> </w:t>
      </w:r>
      <w:r w:rsidRPr="00F50C5E">
        <w:t>It called for the creation of a child protection authority for England, which would have the power to inspect institutions and settings “as it considers necessary and proportionate”.</w:t>
      </w:r>
      <w:r>
        <w:t xml:space="preserve"> See </w:t>
      </w:r>
      <w:hyperlink r:id="rId42" w:history="1">
        <w:r w:rsidRPr="00663AE1">
          <w:rPr>
            <w:rStyle w:val="Hyperlink"/>
          </w:rPr>
          <w:t>https://www.bbc.co.uk/news/uk-63318342</w:t>
        </w:r>
      </w:hyperlink>
      <w:r>
        <w:t xml:space="preserve">  for a summary, and for the full report, </w:t>
      </w:r>
      <w:hyperlink r:id="rId43" w:history="1">
        <w:r w:rsidRPr="00663AE1">
          <w:rPr>
            <w:rStyle w:val="Hyperlink"/>
          </w:rPr>
          <w:t>https://www.iicsa.org.uk/reports-recommendations/publications/inquiry/final-report</w:t>
        </w:r>
      </w:hyperlink>
      <w:r>
        <w:t xml:space="preserve"> </w:t>
      </w:r>
    </w:p>
    <w:p w14:paraId="1DE1110E" w14:textId="77777777" w:rsidR="00527F08" w:rsidRDefault="00527F08" w:rsidP="00527F08">
      <w:pPr>
        <w:pStyle w:val="ListParagraph"/>
      </w:pPr>
    </w:p>
    <w:p w14:paraId="5E5812D0" w14:textId="77777777" w:rsidR="00527F08" w:rsidRDefault="00527F08">
      <w:pPr>
        <w:pStyle w:val="ListParagraph"/>
        <w:numPr>
          <w:ilvl w:val="0"/>
          <w:numId w:val="8"/>
        </w:numPr>
        <w:spacing w:after="160" w:afterAutospacing="0" w:line="259" w:lineRule="auto"/>
      </w:pPr>
      <w:r>
        <w:t xml:space="preserve">Guidance on how to avoid </w:t>
      </w:r>
      <w:r w:rsidRPr="00506D7F">
        <w:rPr>
          <w:b/>
          <w:bCs/>
        </w:rPr>
        <w:t>victim-blaming language and behaviours</w:t>
      </w:r>
      <w:r>
        <w:t xml:space="preserve"> when supporting children who have been abused or exploited online has been published. The 18-page non-statutory document has been produced by the UK Council for Internet Safety and is aimed at helping those working in schools and other settings to respond appropriately when discussing the online experiences of students. Advice from the guidance can also be incorporated into schools’ safeguarding and child protection policies. See </w:t>
      </w:r>
      <w:hyperlink r:id="rId44" w:history="1">
        <w:r w:rsidRPr="00663AE1">
          <w:rPr>
            <w:rStyle w:val="Hyperlink"/>
          </w:rPr>
          <w:t>https://www.gov.uk/government/publications/challenging-victim-blaming-language-and-behaviours-when-dealing-with-the-online-experiences-of-children-and-young-people</w:t>
        </w:r>
      </w:hyperlink>
      <w:r>
        <w:t xml:space="preserve"> </w:t>
      </w:r>
    </w:p>
    <w:p w14:paraId="73D68F66" w14:textId="77777777" w:rsidR="00527F08" w:rsidRDefault="00527F08" w:rsidP="00527F08">
      <w:pPr>
        <w:pStyle w:val="ListParagraph"/>
      </w:pPr>
    </w:p>
    <w:p w14:paraId="09483418" w14:textId="77777777" w:rsidR="00527F08" w:rsidRDefault="00527F08">
      <w:pPr>
        <w:pStyle w:val="ListParagraph"/>
        <w:numPr>
          <w:ilvl w:val="0"/>
          <w:numId w:val="8"/>
        </w:numPr>
        <w:spacing w:after="160" w:afterAutospacing="0" w:line="259" w:lineRule="auto"/>
      </w:pPr>
      <w:r>
        <w:t xml:space="preserve">On Tuesday, November 8, SecEd is running a free to view hour-long webinar offering practical advice and tips for </w:t>
      </w:r>
      <w:r w:rsidRPr="00506D7F">
        <w:rPr>
          <w:b/>
          <w:bCs/>
        </w:rPr>
        <w:t>how schools can support students struggling with anxiety</w:t>
      </w:r>
      <w:r>
        <w:t xml:space="preserve">. Taking place at 4pm, the discussion will feature a panel of expert educators and wellbeing specialists who will offer practical advice for how schools might deliver both preventative, whole-school support for students, as well as how we might respond to individual students, including both internal support and external intervention. See </w:t>
      </w:r>
      <w:hyperlink r:id="rId45" w:history="1">
        <w:r w:rsidRPr="00663AE1">
          <w:rPr>
            <w:rStyle w:val="Hyperlink"/>
          </w:rPr>
          <w:t>https://www.bigmarker.com/ma-education1/Anxiety-and-mental-health-Supporting-secondary-students</w:t>
        </w:r>
      </w:hyperlink>
      <w:r>
        <w:t xml:space="preserve"> </w:t>
      </w:r>
    </w:p>
    <w:p w14:paraId="7C6FA646" w14:textId="422E9CFD" w:rsidR="00365F65" w:rsidRDefault="00365F65" w:rsidP="00365F65">
      <w:pPr>
        <w:spacing w:after="160" w:afterAutospacing="0" w:line="259" w:lineRule="auto"/>
        <w:ind w:left="0"/>
        <w:rPr>
          <w:b/>
          <w:bCs/>
          <w:color w:val="00B0F0"/>
        </w:rPr>
      </w:pPr>
    </w:p>
    <w:p w14:paraId="114963FD" w14:textId="0B1C560B" w:rsidR="00527F08" w:rsidRDefault="00527F08" w:rsidP="00365F65">
      <w:pPr>
        <w:spacing w:after="160" w:afterAutospacing="0" w:line="259" w:lineRule="auto"/>
        <w:ind w:left="0"/>
        <w:rPr>
          <w:b/>
          <w:bCs/>
          <w:color w:val="00B0F0"/>
        </w:rPr>
      </w:pPr>
      <w:r>
        <w:rPr>
          <w:b/>
          <w:bCs/>
          <w:color w:val="00B0F0"/>
        </w:rPr>
        <w:t>Public examinations</w:t>
      </w:r>
    </w:p>
    <w:p w14:paraId="591DAD46" w14:textId="577F2219" w:rsidR="00527F08" w:rsidRPr="00027C61" w:rsidRDefault="00525351">
      <w:pPr>
        <w:pStyle w:val="ListParagraph"/>
        <w:numPr>
          <w:ilvl w:val="0"/>
          <w:numId w:val="20"/>
        </w:numPr>
        <w:spacing w:after="160" w:afterAutospacing="0" w:line="259" w:lineRule="auto"/>
        <w:rPr>
          <w:rStyle w:val="Hyperlink"/>
          <w:b/>
          <w:bCs/>
          <w:color w:val="00B0F0"/>
          <w:u w:val="none"/>
        </w:rPr>
      </w:pPr>
      <w:r>
        <w:t>R</w:t>
      </w:r>
      <w:r w:rsidRPr="00165F6E">
        <w:t xml:space="preserve">esearch, published by the University of Bristol alongside FFT Education Datalab, interrogated </w:t>
      </w:r>
      <w:r w:rsidRPr="00525351">
        <w:rPr>
          <w:b/>
          <w:bCs/>
        </w:rPr>
        <w:t>whether Progress 8 had “encouraged schools to work more equitably” by focusing less on borderline pupils</w:t>
      </w:r>
      <w:r w:rsidRPr="00165F6E">
        <w:t>.</w:t>
      </w:r>
      <w:r>
        <w:t xml:space="preserve"> </w:t>
      </w:r>
      <w:r w:rsidRPr="00295F6E">
        <w:t xml:space="preserve">Lower-attaining pupils have done better in English and maths compared with pupils “on the borderline” since the Progress 8 performance measure was introduced, </w:t>
      </w:r>
      <w:r>
        <w:t xml:space="preserve">the </w:t>
      </w:r>
      <w:r w:rsidRPr="00295F6E">
        <w:t>research has shown.</w:t>
      </w:r>
      <w:r>
        <w:t xml:space="preserve">  </w:t>
      </w:r>
      <w:r w:rsidRPr="000B1630">
        <w:t>Results show that there was a gain of 0.01 standard deviations (SD) in GCSE English and maths for the above-borderline group and 0.07SD for the below-borderline group, meaning those pupils in the latter group made more relative progress.</w:t>
      </w:r>
      <w:r>
        <w:t xml:space="preserve"> Mr Thomson and Professor Burgess said that the effects are “small but not trivial”. They also said that while Progress 8 is “clearly not perfect”, it is “much more equitable to pupils than threshold measures of raw attainment”. See </w:t>
      </w:r>
      <w:hyperlink r:id="rId46" w:history="1">
        <w:r w:rsidRPr="00470945">
          <w:rPr>
            <w:rStyle w:val="Hyperlink"/>
          </w:rPr>
          <w:t>http://www.bristol.ac.uk/efm/media/workingpapers/working_papers/pdffiles/dp22770.pdf</w:t>
        </w:r>
      </w:hyperlink>
    </w:p>
    <w:p w14:paraId="434C0EDF" w14:textId="0D757AE9" w:rsidR="00027C61" w:rsidRDefault="00027C61" w:rsidP="00027C61">
      <w:pPr>
        <w:spacing w:after="160" w:afterAutospacing="0" w:line="259" w:lineRule="auto"/>
        <w:rPr>
          <w:b/>
          <w:bCs/>
          <w:color w:val="00B0F0"/>
        </w:rPr>
      </w:pPr>
    </w:p>
    <w:p w14:paraId="5D323D2D" w14:textId="6DB1D85C" w:rsidR="00027C61" w:rsidRPr="0099439E" w:rsidRDefault="00027C61">
      <w:pPr>
        <w:pStyle w:val="ListParagraph"/>
        <w:numPr>
          <w:ilvl w:val="0"/>
          <w:numId w:val="8"/>
        </w:numPr>
        <w:spacing w:after="160" w:afterAutospacing="0" w:line="259" w:lineRule="auto"/>
        <w:rPr>
          <w:rStyle w:val="Hyperlink"/>
          <w:color w:val="auto"/>
          <w:u w:val="none"/>
        </w:rPr>
      </w:pPr>
      <w:r>
        <w:t>Ofqual has issued “</w:t>
      </w:r>
      <w:r w:rsidRPr="00794224">
        <w:rPr>
          <w:b/>
          <w:bCs/>
        </w:rPr>
        <w:t>Apply to be an external expert with Ofqual</w:t>
      </w:r>
      <w:r>
        <w:t xml:space="preserve">”. See </w:t>
      </w:r>
      <w:hyperlink r:id="rId47" w:history="1">
        <w:r w:rsidRPr="00F61053">
          <w:rPr>
            <w:rStyle w:val="Hyperlink"/>
          </w:rPr>
          <w:t>https://www.gov.uk/guidance/apply-to-be-an-external-expert-with-ofqual</w:t>
        </w:r>
      </w:hyperlink>
    </w:p>
    <w:p w14:paraId="5AC645F8" w14:textId="61BB3CBC" w:rsidR="0099439E" w:rsidRDefault="0099439E" w:rsidP="0099439E">
      <w:pPr>
        <w:spacing w:after="160" w:afterAutospacing="0" w:line="259" w:lineRule="auto"/>
      </w:pPr>
    </w:p>
    <w:p w14:paraId="4CD4C73F" w14:textId="77777777" w:rsidR="0099439E" w:rsidRDefault="0099439E">
      <w:pPr>
        <w:pStyle w:val="ListParagraph"/>
        <w:numPr>
          <w:ilvl w:val="0"/>
          <w:numId w:val="1"/>
        </w:numPr>
        <w:spacing w:after="160" w:afterAutospacing="0" w:line="259" w:lineRule="auto"/>
      </w:pPr>
      <w:r>
        <w:t>The DfE has issued “</w:t>
      </w:r>
      <w:r w:rsidRPr="0071135A">
        <w:t xml:space="preserve">Information for schools about </w:t>
      </w:r>
      <w:r w:rsidRPr="00506D7F">
        <w:rPr>
          <w:b/>
          <w:bCs/>
        </w:rPr>
        <w:t>secondary school accountability measures</w:t>
      </w:r>
      <w:r w:rsidRPr="0071135A">
        <w:t>, including Progress 8 and Attainment 8</w:t>
      </w:r>
      <w:r>
        <w:t xml:space="preserve"> 2022”</w:t>
      </w:r>
      <w:r w:rsidRPr="0071135A">
        <w:t>.</w:t>
      </w:r>
      <w:r>
        <w:t xml:space="preserve"> See </w:t>
      </w:r>
      <w:hyperlink r:id="rId48" w:history="1">
        <w:r w:rsidRPr="00663AE1">
          <w:rPr>
            <w:rStyle w:val="Hyperlink"/>
          </w:rPr>
          <w:t>https://www.gov.uk/government/publications/progress-8-school-performance-measure</w:t>
        </w:r>
      </w:hyperlink>
      <w:r>
        <w:t xml:space="preserve"> </w:t>
      </w:r>
    </w:p>
    <w:p w14:paraId="19EC992D" w14:textId="77777777" w:rsidR="0099439E" w:rsidRDefault="0099439E" w:rsidP="0099439E">
      <w:pPr>
        <w:pStyle w:val="ListParagraph"/>
      </w:pPr>
    </w:p>
    <w:p w14:paraId="6715DD39" w14:textId="424E1DD1" w:rsidR="0099439E" w:rsidRDefault="003E10F1" w:rsidP="0099439E">
      <w:pPr>
        <w:spacing w:after="160" w:afterAutospacing="0" w:line="259" w:lineRule="auto"/>
        <w:rPr>
          <w:b/>
          <w:bCs/>
          <w:color w:val="00B0F0"/>
        </w:rPr>
      </w:pPr>
      <w:r w:rsidRPr="003E10F1">
        <w:rPr>
          <w:b/>
          <w:bCs/>
          <w:color w:val="00B0F0"/>
        </w:rPr>
        <w:t>Ofsted</w:t>
      </w:r>
    </w:p>
    <w:p w14:paraId="49DAB72A" w14:textId="6B0BC8E1" w:rsidR="003E10F1" w:rsidRPr="007F2E2F" w:rsidRDefault="00D824CE">
      <w:pPr>
        <w:pStyle w:val="ListParagraph"/>
        <w:numPr>
          <w:ilvl w:val="0"/>
          <w:numId w:val="1"/>
        </w:numPr>
        <w:spacing w:after="160" w:afterAutospacing="0" w:line="259" w:lineRule="auto"/>
        <w:rPr>
          <w:rStyle w:val="Hyperlink"/>
          <w:b/>
          <w:bCs/>
          <w:color w:val="00B0F0"/>
          <w:u w:val="none"/>
        </w:rPr>
      </w:pPr>
      <w:r>
        <w:t>Ofsted has issued “</w:t>
      </w:r>
      <w:r w:rsidRPr="00D824CE">
        <w:rPr>
          <w:b/>
          <w:bCs/>
        </w:rPr>
        <w:t>School inspection data summary report (IDSR) guide</w:t>
      </w:r>
      <w:r>
        <w:t xml:space="preserve">”.  This guide gives an overview of the inspection data summary report (IDSR) for primary and secondary schools, along with information to help interpret the charts. See </w:t>
      </w:r>
      <w:hyperlink r:id="rId49" w:history="1">
        <w:r w:rsidRPr="00663AE1">
          <w:rPr>
            <w:rStyle w:val="Hyperlink"/>
          </w:rPr>
          <w:t>https://www.gov.uk/guidance/school-inspection-data-summary-report-idsr-guide</w:t>
        </w:r>
      </w:hyperlink>
    </w:p>
    <w:p w14:paraId="3E264378" w14:textId="65543EFE" w:rsidR="007F2E2F" w:rsidRDefault="007F2E2F" w:rsidP="007F2E2F">
      <w:pPr>
        <w:spacing w:after="160" w:afterAutospacing="0" w:line="259" w:lineRule="auto"/>
        <w:rPr>
          <w:b/>
          <w:bCs/>
          <w:color w:val="00B0F0"/>
        </w:rPr>
      </w:pPr>
    </w:p>
    <w:p w14:paraId="6C017C8C" w14:textId="3DD79F8B" w:rsidR="007F2E2F" w:rsidRPr="007F2E2F" w:rsidRDefault="007F2E2F">
      <w:pPr>
        <w:pStyle w:val="ListParagraph"/>
        <w:numPr>
          <w:ilvl w:val="0"/>
          <w:numId w:val="1"/>
        </w:numPr>
        <w:spacing w:after="160" w:afterAutospacing="0" w:line="259" w:lineRule="auto"/>
        <w:rPr>
          <w:rStyle w:val="Hyperlink"/>
          <w:b/>
          <w:bCs/>
          <w:color w:val="00B0F0"/>
          <w:u w:val="none"/>
        </w:rPr>
      </w:pPr>
      <w:r>
        <w:t xml:space="preserve">Ofsted has been criticised for telling its inspectors that </w:t>
      </w:r>
      <w:r w:rsidRPr="007F2E2F">
        <w:rPr>
          <w:b/>
          <w:bCs/>
        </w:rPr>
        <w:t>teaching children to speak standard English</w:t>
      </w:r>
      <w:r>
        <w:t xml:space="preserve"> is a matter of social justice. The instruction is contained in Ofsted training materials that have been circulating on social media. The document highlights how to respond to a school that says: “Teaching pupils to speak standard English is not our priority because it is elitist and pupils should not be forced to adopt middle-class ways of speaking.” </w:t>
      </w:r>
      <w:r w:rsidRPr="0019145D">
        <w:t>Ofsted’s document then tells its inspectors: “This and similar attitudes are not in keeping with the NC [national curriculum], which specifies that pupils are taught standard English, a term for accurate grammar use which has nothing to do with accents.</w:t>
      </w:r>
      <w:r>
        <w:t xml:space="preserve"> See </w:t>
      </w:r>
      <w:hyperlink r:id="rId50" w:history="1">
        <w:r w:rsidRPr="003A62FF">
          <w:rPr>
            <w:rStyle w:val="Hyperlink"/>
          </w:rPr>
          <w:t>https://www.tes.com/magazine/news/general/ofsted-teaching-pupils-speak-standard-english-social-justice</w:t>
        </w:r>
      </w:hyperlink>
    </w:p>
    <w:p w14:paraId="5593C504" w14:textId="77777777" w:rsidR="007F2E2F" w:rsidRPr="007F2E2F" w:rsidRDefault="007F2E2F" w:rsidP="007F2E2F">
      <w:pPr>
        <w:pStyle w:val="ListParagraph"/>
        <w:rPr>
          <w:b/>
          <w:bCs/>
          <w:color w:val="00B0F0"/>
        </w:rPr>
      </w:pPr>
    </w:p>
    <w:p w14:paraId="14106F8A" w14:textId="5A0C513C" w:rsidR="007F2E2F" w:rsidRDefault="007F2E2F" w:rsidP="007F2E2F">
      <w:pPr>
        <w:spacing w:after="160" w:afterAutospacing="0" w:line="259" w:lineRule="auto"/>
        <w:rPr>
          <w:b/>
          <w:bCs/>
          <w:color w:val="00B0F0"/>
        </w:rPr>
      </w:pPr>
      <w:r>
        <w:rPr>
          <w:b/>
          <w:bCs/>
          <w:color w:val="00B0F0"/>
        </w:rPr>
        <w:t>Falling rolls</w:t>
      </w:r>
    </w:p>
    <w:p w14:paraId="62D7BED1" w14:textId="77777777" w:rsidR="00753B3A" w:rsidRDefault="00753B3A">
      <w:pPr>
        <w:pStyle w:val="ListParagraph"/>
        <w:numPr>
          <w:ilvl w:val="0"/>
          <w:numId w:val="21"/>
        </w:numPr>
        <w:spacing w:after="160" w:afterAutospacing="0" w:line="259" w:lineRule="auto"/>
      </w:pPr>
      <w:r w:rsidRPr="00BE73F4">
        <w:rPr>
          <w:b/>
          <w:bCs/>
        </w:rPr>
        <w:t>Running on-site childcare in classrooms</w:t>
      </w:r>
      <w:r w:rsidRPr="0060583A">
        <w:t xml:space="preserve"> that may be empty as rolls fall allows primary schools to prepare pupils for reception, intervene early, and provide a “one stop shop” for families.</w:t>
      </w:r>
      <w:r>
        <w:t xml:space="preserve"> </w:t>
      </w:r>
      <w:r w:rsidRPr="0060583A">
        <w:t>But “practical issues” face leaders considering renting out since-vacated spaces, who may leave themselves short should populations spike again.</w:t>
      </w:r>
      <w:r>
        <w:t xml:space="preserve"> </w:t>
      </w:r>
      <w:r w:rsidRPr="0060583A">
        <w:t>Children’s commissioner Dame Rachel de Souza called for “underused space” in primaries to be used for early years education and childcare.</w:t>
      </w:r>
      <w:r>
        <w:t xml:space="preserve"> </w:t>
      </w:r>
      <w:r w:rsidRPr="0060583A">
        <w:t>The latest government projections predict the primary school population will fall by 16.6 per cent over the next five years. Some councils are already reducing school capacity and repurposing empty classrooms.</w:t>
      </w:r>
      <w:r>
        <w:t xml:space="preserve"> </w:t>
      </w:r>
      <w:r w:rsidRPr="0060583A">
        <w:t>Early years provision on school sites is nothing new, and it is becoming more popular. Government figures show there were 9,500 school-based early years providers in England last year, up from 8,600 in 2018.</w:t>
      </w:r>
      <w:r>
        <w:t xml:space="preserve"> </w:t>
      </w:r>
      <w:r w:rsidRPr="0060583A">
        <w:t>Schools can run their own provision funded through government childcare schemes and private fees, or rent out space to outside providers.</w:t>
      </w:r>
      <w:r>
        <w:t xml:space="preserve"> See </w:t>
      </w:r>
      <w:hyperlink r:id="rId51" w:history="1">
        <w:r w:rsidRPr="003A62FF">
          <w:rPr>
            <w:rStyle w:val="Hyperlink"/>
          </w:rPr>
          <w:t>https://schoolsweek.co.uk/can-childcare-fill-primary-schools-empty-classrooms/</w:t>
        </w:r>
      </w:hyperlink>
      <w:r>
        <w:rPr>
          <w:rStyle w:val="Hyperlink"/>
        </w:rPr>
        <w:t xml:space="preserve">     </w:t>
      </w:r>
    </w:p>
    <w:p w14:paraId="0D9243B5" w14:textId="77777777" w:rsidR="00753B3A" w:rsidRPr="00753B3A" w:rsidRDefault="00753B3A" w:rsidP="00753B3A">
      <w:pPr>
        <w:spacing w:after="160" w:afterAutospacing="0" w:line="259" w:lineRule="auto"/>
        <w:ind w:left="0"/>
        <w:rPr>
          <w:b/>
          <w:bCs/>
          <w:color w:val="00B0F0"/>
        </w:rPr>
      </w:pPr>
    </w:p>
    <w:p w14:paraId="25955160" w14:textId="2DBB82B6" w:rsidR="007F2E2F" w:rsidRPr="00753B3A" w:rsidRDefault="00753B3A">
      <w:pPr>
        <w:pStyle w:val="ListParagraph"/>
        <w:numPr>
          <w:ilvl w:val="0"/>
          <w:numId w:val="21"/>
        </w:numPr>
        <w:spacing w:after="160" w:afterAutospacing="0" w:line="259" w:lineRule="auto"/>
        <w:rPr>
          <w:b/>
          <w:bCs/>
          <w:color w:val="00B0F0"/>
        </w:rPr>
      </w:pPr>
      <w:r w:rsidRPr="00753B3A">
        <w:rPr>
          <w:b/>
          <w:bCs/>
        </w:rPr>
        <w:t>Falling birth rates across the UK will have massive implications for schools</w:t>
      </w:r>
      <w:r w:rsidRPr="00151D81">
        <w:t>, which are funded according to the number of pupils on their rolls. At a time when schools are already facing huge financial pressures, the future looks even bleaker</w:t>
      </w:r>
      <w:r>
        <w:t xml:space="preserve">. It forecasts that there will be a total of 4,064,902 pupils in nursery and primary schools in 2028, down by 532,000 from the 2022 number of 4,597,370. This issue will then feed into secondary schools - where the student population will already be in decline before that primary cohort even arrives. </w:t>
      </w:r>
      <w:r w:rsidRPr="000D6ADF">
        <w:t>This matters in terms of school budgets because schools are funded on a per-pupil basis, and are expected to meet agreed published admissions numbers (PAN) to justify that funding.</w:t>
      </w:r>
      <w:r>
        <w:t xml:space="preserve"> See </w:t>
      </w:r>
      <w:hyperlink r:id="rId52" w:history="1">
        <w:r w:rsidRPr="00F61053">
          <w:rPr>
            <w:rStyle w:val="Hyperlink"/>
          </w:rPr>
          <w:t>https://www.tes.com/magazine/analysis/general/falling-birth-rate-population-crisis-about-hit-schools</w:t>
        </w:r>
      </w:hyperlink>
    </w:p>
    <w:p w14:paraId="6EF8E33B" w14:textId="18C1789F" w:rsidR="00027C61" w:rsidRDefault="00027C61" w:rsidP="00027C61">
      <w:pPr>
        <w:spacing w:after="160" w:afterAutospacing="0" w:line="259" w:lineRule="auto"/>
        <w:rPr>
          <w:b/>
          <w:bCs/>
          <w:color w:val="00B0F0"/>
        </w:rPr>
      </w:pPr>
    </w:p>
    <w:p w14:paraId="513D253B" w14:textId="29F01BA8" w:rsidR="008F11FD" w:rsidRDefault="008F11FD" w:rsidP="00027C61">
      <w:pPr>
        <w:spacing w:after="160" w:afterAutospacing="0" w:line="259" w:lineRule="auto"/>
        <w:rPr>
          <w:b/>
          <w:bCs/>
          <w:color w:val="00B0F0"/>
        </w:rPr>
      </w:pPr>
      <w:r>
        <w:rPr>
          <w:b/>
          <w:bCs/>
          <w:color w:val="00B0F0"/>
        </w:rPr>
        <w:t>Schools Bill</w:t>
      </w:r>
    </w:p>
    <w:p w14:paraId="083C08AC" w14:textId="77777777" w:rsidR="00CE4225" w:rsidRDefault="00CE4225">
      <w:pPr>
        <w:pStyle w:val="ListParagraph"/>
        <w:numPr>
          <w:ilvl w:val="0"/>
          <w:numId w:val="1"/>
        </w:numPr>
        <w:spacing w:after="160" w:afterAutospacing="0" w:line="259" w:lineRule="auto"/>
      </w:pPr>
      <w:r w:rsidRPr="005B7B97">
        <w:t xml:space="preserve">The government is poised to </w:t>
      </w:r>
      <w:r w:rsidRPr="00506D7F">
        <w:rPr>
          <w:b/>
          <w:bCs/>
        </w:rPr>
        <w:t>drop its schools bill</w:t>
      </w:r>
      <w:r w:rsidRPr="005B7B97">
        <w:t xml:space="preserve">, but officials are working on a last-ditch plan to </w:t>
      </w:r>
      <w:r w:rsidRPr="00506D7F">
        <w:rPr>
          <w:b/>
          <w:bCs/>
        </w:rPr>
        <w:t>bring back some of its proposals next year in the form of different legislation</w:t>
      </w:r>
      <w:r w:rsidRPr="005B7B97">
        <w:t>.</w:t>
      </w:r>
      <w:r>
        <w:t xml:space="preserve"> </w:t>
      </w:r>
      <w:r w:rsidRPr="005B5B78">
        <w:t>This could include some of the academy regulation and intervention powers proposed, along with the establishment of a register of children not in education and greater powers to tackle illegal schools.</w:t>
      </w:r>
      <w:r>
        <w:t xml:space="preserve"> T</w:t>
      </w:r>
      <w:r w:rsidRPr="00F13B38">
        <w:t>he SEND review, is safe, according to government sources. Ministers are due to respond to their own consultation this term.</w:t>
      </w:r>
      <w:r>
        <w:t xml:space="preserve"> </w:t>
      </w:r>
      <w:r w:rsidRPr="003356C3">
        <w:t>Despite the scrapping of the bill, sources said the government remained committed to the aims set out in the schools white paper.</w:t>
      </w:r>
      <w:r>
        <w:t xml:space="preserve"> </w:t>
      </w:r>
      <w:r w:rsidRPr="00077CC6">
        <w:t>A review into academy regulation is also still ongoing.</w:t>
      </w:r>
      <w:r>
        <w:t xml:space="preserve"> The schools minister has said that he would look to use “existing” powers in the academy trust handbook.  It is believed this relates to the government’s power to issue termination notices and rebroker struggling academies into other trusts. The government has said it wants all schools at least in the process of moving into a MAT by 2030.</w:t>
      </w:r>
    </w:p>
    <w:p w14:paraId="022568DC" w14:textId="77777777" w:rsidR="00CE4225" w:rsidRDefault="00CE4225" w:rsidP="00CE4225"/>
    <w:p w14:paraId="7B61C47C" w14:textId="08BEBE2B" w:rsidR="008F11FD" w:rsidRDefault="00CE4225" w:rsidP="00027C61">
      <w:pPr>
        <w:spacing w:after="160" w:afterAutospacing="0" w:line="259" w:lineRule="auto"/>
        <w:rPr>
          <w:b/>
          <w:bCs/>
          <w:color w:val="00B0F0"/>
        </w:rPr>
      </w:pPr>
      <w:r>
        <w:rPr>
          <w:b/>
          <w:bCs/>
          <w:color w:val="00B0F0"/>
        </w:rPr>
        <w:t>MFL</w:t>
      </w:r>
    </w:p>
    <w:p w14:paraId="18922C99" w14:textId="48053C87" w:rsidR="00CE4225" w:rsidRPr="00254D90" w:rsidRDefault="00254D90">
      <w:pPr>
        <w:pStyle w:val="ListParagraph"/>
        <w:numPr>
          <w:ilvl w:val="0"/>
          <w:numId w:val="1"/>
        </w:numPr>
        <w:spacing w:after="160" w:afterAutospacing="0" w:line="259" w:lineRule="auto"/>
        <w:rPr>
          <w:b/>
          <w:bCs/>
          <w:color w:val="00B0F0"/>
        </w:rPr>
      </w:pPr>
      <w:r>
        <w:t xml:space="preserve">Ministers plan to draw up new “benchmarks” setting out </w:t>
      </w:r>
      <w:r w:rsidRPr="00254D90">
        <w:rPr>
          <w:b/>
          <w:bCs/>
        </w:rPr>
        <w:t>expected attainment levels in languages</w:t>
      </w:r>
      <w:r>
        <w:t xml:space="preserve"> as they attempt to “improve” primary pupils’ transition into secondaries. It is part of the government push to increase the uptake of languages at GCSE level and its pledge for 90 per cent of year 10 pupils entering the English baccalaureate (EBacc) by 2025. The DfE plans to appoint a new advisory panel to draw up non-statutory guidance for languages education for 7 to 14-year-olds. It will be published later next year. As part of that, an early contract notice states the panel will produce a document that “seeks to improve transition between key stage 2 and key stage 3, benchmarking expected attainment levels”. </w:t>
      </w:r>
      <w:r w:rsidRPr="00264C80">
        <w:t>Ofsted’s research review of languages education last year cited “staff expertise” at primary school as a barrier to learning.</w:t>
      </w:r>
      <w:r>
        <w:t xml:space="preserve"> See </w:t>
      </w:r>
      <w:hyperlink r:id="rId53" w:history="1">
        <w:r w:rsidRPr="00F61053">
          <w:rPr>
            <w:rStyle w:val="Hyperlink"/>
          </w:rPr>
          <w:t>https://schoolsweek.co.uk/languages-french-german-spanish-attainment-benchmarks-proposed-to-boost-gcse-take-up/</w:t>
        </w:r>
      </w:hyperlink>
    </w:p>
    <w:p w14:paraId="308C2022" w14:textId="2F2232D5" w:rsidR="00500ACC" w:rsidRDefault="00500ACC" w:rsidP="00D641E7">
      <w:pPr>
        <w:spacing w:after="160" w:afterAutospacing="0" w:line="259" w:lineRule="auto"/>
        <w:rPr>
          <w:b/>
          <w:bCs/>
          <w:color w:val="00B0F0"/>
        </w:rPr>
      </w:pPr>
    </w:p>
    <w:p w14:paraId="4E04E148" w14:textId="6973A14C" w:rsidR="00492484" w:rsidRDefault="00492484" w:rsidP="00D641E7">
      <w:pPr>
        <w:spacing w:after="160" w:afterAutospacing="0" w:line="259" w:lineRule="auto"/>
        <w:rPr>
          <w:b/>
          <w:bCs/>
          <w:color w:val="00B0F0"/>
        </w:rPr>
      </w:pPr>
      <w:r>
        <w:rPr>
          <w:b/>
          <w:bCs/>
          <w:color w:val="00B0F0"/>
        </w:rPr>
        <w:t>Education News for schools</w:t>
      </w:r>
    </w:p>
    <w:p w14:paraId="43388546" w14:textId="77777777" w:rsidR="00BA7A30" w:rsidRDefault="00BA7A30">
      <w:pPr>
        <w:pStyle w:val="ListParagraph"/>
        <w:numPr>
          <w:ilvl w:val="0"/>
          <w:numId w:val="12"/>
        </w:numPr>
        <w:spacing w:after="160" w:afterAutospacing="0" w:line="259" w:lineRule="auto"/>
      </w:pPr>
      <w:r w:rsidRPr="005E4A4D">
        <w:rPr>
          <w:b/>
          <w:bCs/>
        </w:rPr>
        <w:t>The sixth annual awards, organised by the National Association for Special Educational Needs</w:t>
      </w:r>
      <w:r w:rsidRPr="002955F4">
        <w:t>, produced 18 winners across England.</w:t>
      </w:r>
      <w:r>
        <w:t xml:space="preserve"> See </w:t>
      </w:r>
      <w:hyperlink r:id="rId54" w:history="1">
        <w:r w:rsidRPr="00164F0F">
          <w:rPr>
            <w:rStyle w:val="Hyperlink"/>
          </w:rPr>
          <w:t>https://schoolsweek.co.uk/revealed-the-winners-of-the-nasen-awards-2022/</w:t>
        </w:r>
      </w:hyperlink>
    </w:p>
    <w:p w14:paraId="6A5DA711" w14:textId="77777777" w:rsidR="00BA7A30" w:rsidRDefault="00BA7A30" w:rsidP="00BA7A30"/>
    <w:p w14:paraId="25DF32CF" w14:textId="77777777" w:rsidR="00BA7A30" w:rsidRDefault="00BA7A30" w:rsidP="00BA7A30">
      <w:pPr>
        <w:pStyle w:val="ListParagraph"/>
      </w:pPr>
    </w:p>
    <w:p w14:paraId="13FFD247" w14:textId="77D71008" w:rsidR="00492484" w:rsidRPr="005A21EB" w:rsidRDefault="00BA7A30">
      <w:pPr>
        <w:pStyle w:val="ListParagraph"/>
        <w:numPr>
          <w:ilvl w:val="0"/>
          <w:numId w:val="12"/>
        </w:numPr>
        <w:spacing w:after="160" w:afterAutospacing="0" w:line="259" w:lineRule="auto"/>
        <w:rPr>
          <w:rStyle w:val="Hyperlink"/>
          <w:b/>
          <w:bCs/>
          <w:color w:val="00B0F0"/>
          <w:u w:val="none"/>
        </w:rPr>
      </w:pPr>
      <w:r w:rsidRPr="00BA7A30">
        <w:rPr>
          <w:b/>
          <w:bCs/>
        </w:rPr>
        <w:t>Teaching and classroom assistants (TAs) working in mainstream schools in the UK have described being kicked, punched and spat at by pupils</w:t>
      </w:r>
      <w:r>
        <w:t xml:space="preserve"> in a new study that explores for the first time aggression targeted at support staff, who are predominantly female and low-paid. They told researchers they had been hit in the face, bitten, had objects thrown at them and received death threats, with incidents reported in primary and secondary schools. Their injuries included cuts, a black eye, a dislocated thumb, a broken finger and torn ligaments, according to the University of Roehampton study. They also described the psychological toll of the incidents, complaining of stress, anxiety, depression and post-traumatic stress disorder, forcing some to take time off sick and even to retire early due to ill health. </w:t>
      </w:r>
      <w:r w:rsidRPr="00294D68">
        <w:t>The study also documents concerns about the lack of consequences for pupils in some cases</w:t>
      </w:r>
      <w:r>
        <w:t xml:space="preserve">. See </w:t>
      </w:r>
      <w:hyperlink r:id="rId55" w:history="1">
        <w:r w:rsidRPr="00164F0F">
          <w:rPr>
            <w:rStyle w:val="Hyperlink"/>
          </w:rPr>
          <w:t>https://pure.roehampton.ac.uk/portal/en/publications/violence-towards-teachingclassroom-assistants-in-mainstream-uk-sc</w:t>
        </w:r>
      </w:hyperlink>
    </w:p>
    <w:p w14:paraId="108EF759" w14:textId="7EEFC38A" w:rsidR="005A21EB" w:rsidRDefault="005A21EB" w:rsidP="005A21EB">
      <w:pPr>
        <w:spacing w:after="160" w:afterAutospacing="0" w:line="259" w:lineRule="auto"/>
        <w:rPr>
          <w:b/>
          <w:bCs/>
          <w:color w:val="00B0F0"/>
        </w:rPr>
      </w:pPr>
    </w:p>
    <w:p w14:paraId="207DC4B3" w14:textId="4DEDB005" w:rsidR="005A21EB" w:rsidRPr="001A0F33" w:rsidRDefault="005A21EB">
      <w:pPr>
        <w:pStyle w:val="ListParagraph"/>
        <w:numPr>
          <w:ilvl w:val="0"/>
          <w:numId w:val="1"/>
        </w:numPr>
        <w:spacing w:after="160" w:afterAutospacing="0" w:line="259" w:lineRule="auto"/>
        <w:rPr>
          <w:rStyle w:val="Hyperlink"/>
          <w:color w:val="auto"/>
          <w:u w:val="none"/>
        </w:rPr>
      </w:pPr>
      <w:r>
        <w:t>The DfE has issued “</w:t>
      </w:r>
      <w:r w:rsidRPr="00506D7F">
        <w:rPr>
          <w:b/>
          <w:bCs/>
        </w:rPr>
        <w:t>Setting up school partnerships</w:t>
      </w:r>
      <w:r>
        <w:t xml:space="preserve">. Information for schools and universities on sharing expertise and resources through collaboration”. See </w:t>
      </w:r>
      <w:hyperlink r:id="rId56" w:history="1">
        <w:r w:rsidRPr="00772C47">
          <w:rPr>
            <w:rStyle w:val="Hyperlink"/>
          </w:rPr>
          <w:t>https://www.gov.uk/government/publications/setting-up-school-partnerships</w:t>
        </w:r>
      </w:hyperlink>
    </w:p>
    <w:p w14:paraId="328687B5" w14:textId="524D8594" w:rsidR="001A0F33" w:rsidRDefault="001A0F33" w:rsidP="001A0F33">
      <w:pPr>
        <w:spacing w:after="160" w:afterAutospacing="0" w:line="259" w:lineRule="auto"/>
      </w:pPr>
    </w:p>
    <w:p w14:paraId="41C4A3A6" w14:textId="46D26D21" w:rsidR="001A0F33" w:rsidRDefault="001A0F33">
      <w:pPr>
        <w:pStyle w:val="ListParagraph"/>
        <w:numPr>
          <w:ilvl w:val="0"/>
          <w:numId w:val="8"/>
        </w:numPr>
        <w:spacing w:after="160" w:afterAutospacing="0" w:line="259" w:lineRule="auto"/>
      </w:pPr>
      <w:r>
        <w:t xml:space="preserve">The government must </w:t>
      </w:r>
      <w:r w:rsidRPr="00506D7F">
        <w:rPr>
          <w:b/>
          <w:bCs/>
        </w:rPr>
        <w:t>extend free school meals</w:t>
      </w:r>
      <w:r>
        <w:t xml:space="preserve"> to avoid undermining school staff efforts to tackle the disadvantage gap and support ministers’ “growth agenda”, sector leaders have warned the government. In a letter signed by 12 organisations - including all four main teaching unions in England, and the sector bodies for school trusts, governors and business leaders -, education secretary Kit Malthouse and chancellor Jeremy Hunt are told: “Now is the right moment for the government to commit to an expansion of free school meals.” The letter says that every single school professional is “focused on ensuring that our most disadvantaged children are not left behind”, and that we “must” make sure every child has the nutrition “they need to be able to learn and thrive”. See </w:t>
      </w:r>
      <w:hyperlink r:id="rId57" w:history="1">
        <w:r w:rsidRPr="00663AE1">
          <w:rPr>
            <w:rStyle w:val="Hyperlink"/>
          </w:rPr>
          <w:t>https://www.ascl.org.uk/News/Our-news-and-press-releases/Education-leaders-from-24,000-schools-demand-Gover</w:t>
        </w:r>
      </w:hyperlink>
      <w:r>
        <w:t xml:space="preserve"> </w:t>
      </w:r>
    </w:p>
    <w:p w14:paraId="11B16521" w14:textId="468921B7" w:rsidR="00401669" w:rsidRDefault="00401669" w:rsidP="00401669">
      <w:pPr>
        <w:spacing w:after="160" w:afterAutospacing="0" w:line="259" w:lineRule="auto"/>
      </w:pPr>
    </w:p>
    <w:p w14:paraId="33628FBB" w14:textId="77777777" w:rsidR="00401669" w:rsidRDefault="00401669">
      <w:pPr>
        <w:pStyle w:val="ListParagraph"/>
        <w:numPr>
          <w:ilvl w:val="0"/>
          <w:numId w:val="8"/>
        </w:numPr>
        <w:spacing w:after="160" w:afterAutospacing="0" w:line="259" w:lineRule="auto"/>
      </w:pPr>
      <w:r w:rsidRPr="00591AB1">
        <w:rPr>
          <w:b/>
          <w:bCs/>
        </w:rPr>
        <w:t>Universities in England and Wales are doubling or tripling their hardship funds</w:t>
      </w:r>
      <w:r>
        <w:t xml:space="preserve"> in anticipation of “unprecedented” demand from students struggling with the cost of living, amid fears of widespread dropouts unless ministers offer more support. Just days into the new academic year, university and student leaders said they were already seeing signs of students being unable to cope, including not affording books for their courses, working 40-hour weeks, and being at risk of homelessness. See </w:t>
      </w:r>
      <w:hyperlink r:id="rId58" w:history="1">
        <w:r w:rsidRPr="00F61053">
          <w:rPr>
            <w:rStyle w:val="Hyperlink"/>
          </w:rPr>
          <w:t>https://www.theguardian.com/education/2022/oct/20/universities-double-or-triple-student-hardship-funds-in-face-of-soaring-need</w:t>
        </w:r>
      </w:hyperlink>
      <w:r>
        <w:t xml:space="preserve"> </w:t>
      </w:r>
    </w:p>
    <w:p w14:paraId="6730BACB" w14:textId="77777777" w:rsidR="00401669" w:rsidRDefault="00401669" w:rsidP="00401669">
      <w:pPr>
        <w:pStyle w:val="ListParagraph"/>
      </w:pPr>
    </w:p>
    <w:p w14:paraId="15DF523C" w14:textId="537AF0FC" w:rsidR="00401669" w:rsidRDefault="00401669">
      <w:pPr>
        <w:pStyle w:val="ListParagraph"/>
        <w:numPr>
          <w:ilvl w:val="0"/>
          <w:numId w:val="8"/>
        </w:numPr>
        <w:spacing w:after="160" w:afterAutospacing="0" w:line="259" w:lineRule="auto"/>
      </w:pPr>
      <w:r>
        <w:t xml:space="preserve">A host of genetic variants associated with </w:t>
      </w:r>
      <w:r w:rsidRPr="00401669">
        <w:rPr>
          <w:b/>
          <w:bCs/>
        </w:rPr>
        <w:t>dyslexia</w:t>
      </w:r>
      <w:r>
        <w:t xml:space="preserve"> have been identified by researchers, shedding light on the hereditary aspect of the disorder. It is estimated that about 10% of the UK population, about 6.3 million people, are dyslexic. Previous research has suggested it has a heritable component, with studies suggesting genetics account for somewhere between 40% and 80% of the average differences between those with dyslexia and general population. However, pinpointing specific genetic variants that may play a role has proved challenging. Now researchers say they have identified about 170 genes and 42 specific genetic variants significantly associated with dyslexia in the largest such study to date. See </w:t>
      </w:r>
      <w:hyperlink r:id="rId59" w:history="1">
        <w:r w:rsidRPr="00F61053">
          <w:rPr>
            <w:rStyle w:val="Hyperlink"/>
          </w:rPr>
          <w:t>https://www.theguardian.com/society/2022/oct/20/host-of-genes-and-genetic-variants-linked-to-dyslexia-identified</w:t>
        </w:r>
      </w:hyperlink>
    </w:p>
    <w:p w14:paraId="030A6B57" w14:textId="77777777" w:rsidR="001A0F33" w:rsidRDefault="001A0F33" w:rsidP="001A0F33">
      <w:pPr>
        <w:spacing w:after="160" w:afterAutospacing="0" w:line="259" w:lineRule="auto"/>
      </w:pPr>
    </w:p>
    <w:p w14:paraId="13EFBE2D" w14:textId="670B4E64" w:rsidR="005A21EB" w:rsidRPr="004546B2" w:rsidRDefault="004546B2" w:rsidP="005A21EB">
      <w:pPr>
        <w:rPr>
          <w:b/>
          <w:bCs/>
          <w:color w:val="00B0F0"/>
        </w:rPr>
      </w:pPr>
      <w:r w:rsidRPr="004546B2">
        <w:rPr>
          <w:b/>
          <w:bCs/>
          <w:color w:val="00B0F0"/>
        </w:rPr>
        <w:t>School management</w:t>
      </w:r>
    </w:p>
    <w:p w14:paraId="32979404" w14:textId="77777777" w:rsidR="00D4068C" w:rsidRDefault="00D4068C">
      <w:pPr>
        <w:pStyle w:val="ListParagraph"/>
        <w:numPr>
          <w:ilvl w:val="0"/>
          <w:numId w:val="8"/>
        </w:numPr>
        <w:spacing w:after="160" w:afterAutospacing="0" w:line="259" w:lineRule="auto"/>
      </w:pPr>
      <w:r>
        <w:t>The DfE has issued:</w:t>
      </w:r>
    </w:p>
    <w:p w14:paraId="5671175C" w14:textId="614CFA2B" w:rsidR="00D4068C" w:rsidRDefault="00D4068C">
      <w:pPr>
        <w:pStyle w:val="ListParagraph"/>
        <w:numPr>
          <w:ilvl w:val="0"/>
          <w:numId w:val="22"/>
        </w:numPr>
        <w:spacing w:after="160" w:afterAutospacing="0" w:line="259" w:lineRule="auto"/>
      </w:pPr>
      <w:r w:rsidRPr="006D1AF4">
        <w:t xml:space="preserve">Guidance </w:t>
      </w:r>
      <w:r w:rsidR="00084303">
        <w:t>and 2022-2023 allocations re</w:t>
      </w:r>
      <w:r w:rsidRPr="006D1AF4">
        <w:t xml:space="preserve"> the </w:t>
      </w:r>
      <w:r w:rsidRPr="006D1AF4">
        <w:rPr>
          <w:b/>
          <w:bCs/>
        </w:rPr>
        <w:t>pension grant</w:t>
      </w:r>
      <w:r w:rsidRPr="006D1AF4">
        <w:t>, supplementary fund and pension funding for local authority centrally employed teachers and music education hubs</w:t>
      </w:r>
      <w:r>
        <w:t xml:space="preserve">, </w:t>
      </w:r>
      <w:hyperlink r:id="rId60" w:history="1">
        <w:r w:rsidRPr="00F61053">
          <w:rPr>
            <w:rStyle w:val="Hyperlink"/>
          </w:rPr>
          <w:t>https://www.gov.uk/government/publications/teachers-pension-employer-contribution-grant-tpecg</w:t>
        </w:r>
      </w:hyperlink>
      <w:r>
        <w:t xml:space="preserve"> </w:t>
      </w:r>
      <w:r w:rsidR="007101CA">
        <w:t xml:space="preserve"> </w:t>
      </w:r>
      <w:r w:rsidR="00084303">
        <w:t xml:space="preserve">  </w:t>
      </w:r>
      <w:hyperlink r:id="rId61" w:history="1">
        <w:r w:rsidR="00084303" w:rsidRPr="00C414DD">
          <w:rPr>
            <w:rStyle w:val="Hyperlink"/>
          </w:rPr>
          <w:t>https://www.gov.uk/government/publications/teachers-pension-grant-2022-to-2023-allocations</w:t>
        </w:r>
      </w:hyperlink>
      <w:r w:rsidR="00084303">
        <w:t xml:space="preserve"> </w:t>
      </w:r>
    </w:p>
    <w:p w14:paraId="4F2D8615" w14:textId="7875F72D" w:rsidR="005A21EB" w:rsidRPr="00C24473" w:rsidRDefault="00D4068C">
      <w:pPr>
        <w:pStyle w:val="ListParagraph"/>
        <w:numPr>
          <w:ilvl w:val="0"/>
          <w:numId w:val="22"/>
        </w:numPr>
        <w:spacing w:after="160" w:afterAutospacing="0" w:line="259" w:lineRule="auto"/>
        <w:rPr>
          <w:rStyle w:val="Hyperlink"/>
          <w:color w:val="auto"/>
          <w:u w:val="none"/>
        </w:rPr>
      </w:pPr>
      <w:r w:rsidRPr="00276459">
        <w:t>Guidance</w:t>
      </w:r>
      <w:r w:rsidR="00084303">
        <w:t xml:space="preserve"> and 2022-2023 allocations re</w:t>
      </w:r>
      <w:r w:rsidRPr="00276459">
        <w:t xml:space="preserve"> schools and local authorities on the </w:t>
      </w:r>
      <w:r w:rsidRPr="00D4068C">
        <w:rPr>
          <w:b/>
          <w:bCs/>
        </w:rPr>
        <w:t>teachers' pay grant</w:t>
      </w:r>
      <w:r>
        <w:t xml:space="preserve">, </w:t>
      </w:r>
      <w:hyperlink r:id="rId62" w:history="1">
        <w:r w:rsidRPr="00F61053">
          <w:rPr>
            <w:rStyle w:val="Hyperlink"/>
          </w:rPr>
          <w:t>https://www.gov.uk/government/publications/teachers-pay-grant-methodology</w:t>
        </w:r>
      </w:hyperlink>
      <w:r w:rsidR="007101CA">
        <w:rPr>
          <w:rStyle w:val="Hyperlink"/>
        </w:rPr>
        <w:t xml:space="preserve">   </w:t>
      </w:r>
      <w:r w:rsidR="007101CA" w:rsidRPr="007101CA">
        <w:rPr>
          <w:rStyle w:val="Hyperlink"/>
        </w:rPr>
        <w:t>https://www.gov.uk/government/publications/teachers-pay-grant-allocations-for-2022-to-2023-financial-year</w:t>
      </w:r>
    </w:p>
    <w:p w14:paraId="436EACCB" w14:textId="78238BAF" w:rsidR="00C24473" w:rsidRDefault="00C24473" w:rsidP="00C24473">
      <w:pPr>
        <w:spacing w:after="160" w:afterAutospacing="0" w:line="259" w:lineRule="auto"/>
      </w:pPr>
    </w:p>
    <w:p w14:paraId="0F483490" w14:textId="57CAFE9D" w:rsidR="00C24473" w:rsidRPr="0044314B" w:rsidRDefault="00C24473">
      <w:pPr>
        <w:pStyle w:val="ListParagraph"/>
        <w:numPr>
          <w:ilvl w:val="0"/>
          <w:numId w:val="8"/>
        </w:numPr>
        <w:spacing w:after="160" w:afterAutospacing="0" w:line="259" w:lineRule="auto"/>
        <w:rPr>
          <w:rStyle w:val="Hyperlink"/>
          <w:color w:val="auto"/>
          <w:u w:val="none"/>
        </w:rPr>
      </w:pPr>
      <w:r>
        <w:t xml:space="preserve">For the latest </w:t>
      </w:r>
      <w:r w:rsidRPr="00506D7F">
        <w:rPr>
          <w:b/>
          <w:bCs/>
        </w:rPr>
        <w:t>ESFA Update</w:t>
      </w:r>
      <w:r>
        <w:t xml:space="preserve">, see </w:t>
      </w:r>
      <w:hyperlink r:id="rId63" w:history="1">
        <w:r w:rsidRPr="00663AE1">
          <w:rPr>
            <w:rStyle w:val="Hyperlink"/>
          </w:rPr>
          <w:t>https://www.gov.uk/government/publications/esfa-update-19-october-2022</w:t>
        </w:r>
      </w:hyperlink>
    </w:p>
    <w:p w14:paraId="2196AB26" w14:textId="751E1CFF" w:rsidR="0044314B" w:rsidRDefault="0044314B" w:rsidP="0044314B">
      <w:pPr>
        <w:spacing w:after="160" w:afterAutospacing="0" w:line="259" w:lineRule="auto"/>
      </w:pPr>
    </w:p>
    <w:p w14:paraId="296C4BD1" w14:textId="77777777" w:rsidR="0044314B" w:rsidRDefault="0044314B">
      <w:pPr>
        <w:pStyle w:val="ListParagraph"/>
        <w:numPr>
          <w:ilvl w:val="0"/>
          <w:numId w:val="1"/>
        </w:numPr>
        <w:spacing w:after="160" w:afterAutospacing="0" w:line="259" w:lineRule="auto"/>
      </w:pPr>
      <w:r>
        <w:t>The DfE has issued i</w:t>
      </w:r>
      <w:r w:rsidRPr="00E547C3">
        <w:t xml:space="preserve">nformation for apprenticeship providers about </w:t>
      </w:r>
      <w:r w:rsidRPr="00506D7F">
        <w:rPr>
          <w:b/>
          <w:bCs/>
        </w:rPr>
        <w:t>reasonable adjustments for apprentices with learning difficulties and disabilities</w:t>
      </w:r>
      <w:r w:rsidRPr="00E547C3">
        <w:t>.</w:t>
      </w:r>
      <w:r>
        <w:t xml:space="preserve"> See </w:t>
      </w:r>
      <w:hyperlink r:id="rId64" w:history="1">
        <w:r w:rsidRPr="00772C47">
          <w:rPr>
            <w:rStyle w:val="Hyperlink"/>
          </w:rPr>
          <w:t>https://www.gov.uk/government/publications/support-for-apprentices-with-a-learning-difficulty-or-disability</w:t>
        </w:r>
      </w:hyperlink>
    </w:p>
    <w:p w14:paraId="3AA56718" w14:textId="77777777" w:rsidR="0044314B" w:rsidRDefault="0044314B" w:rsidP="0044314B">
      <w:pPr>
        <w:pStyle w:val="ListParagraph"/>
      </w:pPr>
    </w:p>
    <w:p w14:paraId="1F4B5E45" w14:textId="583D49AC" w:rsidR="0044314B" w:rsidRDefault="00FC7EDF" w:rsidP="0044314B">
      <w:pPr>
        <w:spacing w:after="160" w:afterAutospacing="0" w:line="259" w:lineRule="auto"/>
        <w:rPr>
          <w:b/>
          <w:bCs/>
          <w:color w:val="00B0F0"/>
        </w:rPr>
      </w:pPr>
      <w:r w:rsidRPr="00FC7EDF">
        <w:rPr>
          <w:b/>
          <w:bCs/>
          <w:color w:val="00B0F0"/>
        </w:rPr>
        <w:t>Post 16</w:t>
      </w:r>
    </w:p>
    <w:p w14:paraId="345196E4" w14:textId="77777777" w:rsidR="00FC7EDF" w:rsidRDefault="00FC7EDF">
      <w:pPr>
        <w:pStyle w:val="ListParagraph"/>
        <w:numPr>
          <w:ilvl w:val="0"/>
          <w:numId w:val="16"/>
        </w:numPr>
        <w:spacing w:after="160" w:afterAutospacing="0" w:line="259" w:lineRule="auto"/>
      </w:pPr>
      <w:r>
        <w:t>ESFA has issued “</w:t>
      </w:r>
      <w:r w:rsidRPr="00C96980">
        <w:t xml:space="preserve">Information setting out the process that may lead to a grant funding arrangement with the </w:t>
      </w:r>
      <w:r>
        <w:t>ESFA</w:t>
      </w:r>
      <w:r w:rsidRPr="00C96980">
        <w:t xml:space="preserve"> for the </w:t>
      </w:r>
      <w:r w:rsidRPr="00BE73F4">
        <w:rPr>
          <w:b/>
          <w:bCs/>
        </w:rPr>
        <w:t>delivery of education provision for high needs students</w:t>
      </w:r>
      <w:r>
        <w:t>”</w:t>
      </w:r>
      <w:r w:rsidRPr="00C96980">
        <w:t>.</w:t>
      </w:r>
      <w:r>
        <w:t xml:space="preserve"> See </w:t>
      </w:r>
      <w:hyperlink r:id="rId65" w:history="1">
        <w:r w:rsidRPr="00085114">
          <w:rPr>
            <w:rStyle w:val="Hyperlink"/>
          </w:rPr>
          <w:t>https://www.gov.uk/search/all?organisations%5B%5D=education-and-skills-funding-agency&amp;order=updated-newest&amp;parent=education-and-skills-funding-agency</w:t>
        </w:r>
      </w:hyperlink>
    </w:p>
    <w:p w14:paraId="39167A6D" w14:textId="77777777" w:rsidR="00FC7EDF" w:rsidRDefault="00FC7EDF" w:rsidP="00FC7EDF">
      <w:pPr>
        <w:pStyle w:val="ListParagraph"/>
      </w:pPr>
    </w:p>
    <w:p w14:paraId="4D1D29F4" w14:textId="3DD4393F" w:rsidR="00FC7EDF" w:rsidRDefault="00FC7EDF">
      <w:pPr>
        <w:pStyle w:val="ListParagraph"/>
        <w:numPr>
          <w:ilvl w:val="0"/>
          <w:numId w:val="16"/>
        </w:numPr>
        <w:spacing w:after="160" w:afterAutospacing="0" w:line="259" w:lineRule="auto"/>
      </w:pPr>
      <w:r>
        <w:t>The DfE has issued “</w:t>
      </w:r>
      <w:r w:rsidRPr="007368BD">
        <w:t xml:space="preserve">Information for 16 to 19 providers providing </w:t>
      </w:r>
      <w:r w:rsidRPr="00FC7EDF">
        <w:rPr>
          <w:b/>
          <w:bCs/>
        </w:rPr>
        <w:t>capacity and delivery fund (CDF) industry placements</w:t>
      </w:r>
      <w:r w:rsidRPr="007368BD">
        <w:t xml:space="preserve"> for the 2023 to 2024 academic year</w:t>
      </w:r>
      <w:r>
        <w:t>”</w:t>
      </w:r>
      <w:r w:rsidRPr="007368BD">
        <w:t>.</w:t>
      </w:r>
      <w:r>
        <w:t xml:space="preserve"> See </w:t>
      </w:r>
      <w:hyperlink r:id="rId66" w:history="1">
        <w:r w:rsidRPr="00D909FD">
          <w:rPr>
            <w:rStyle w:val="Hyperlink"/>
          </w:rPr>
          <w:t>https://www.gov.uk/government/publications/industry-placements-capacity-and-delivery-fund-2023-to-2024</w:t>
        </w:r>
      </w:hyperlink>
      <w:r>
        <w:t xml:space="preserve"> </w:t>
      </w:r>
    </w:p>
    <w:p w14:paraId="72DF5CE4" w14:textId="77777777" w:rsidR="00FC7EDF" w:rsidRDefault="00FC7EDF" w:rsidP="00FC7EDF">
      <w:pPr>
        <w:pStyle w:val="ListParagraph"/>
      </w:pPr>
    </w:p>
    <w:p w14:paraId="3C8C3E7A" w14:textId="77777777" w:rsidR="00FC7EDF" w:rsidRDefault="00FC7EDF">
      <w:pPr>
        <w:pStyle w:val="ListParagraph"/>
        <w:numPr>
          <w:ilvl w:val="0"/>
          <w:numId w:val="16"/>
        </w:numPr>
        <w:spacing w:after="160" w:afterAutospacing="0" w:line="259" w:lineRule="auto"/>
      </w:pPr>
      <w:r>
        <w:t>ESFA has issued “</w:t>
      </w:r>
      <w:r w:rsidRPr="00B235CB">
        <w:t xml:space="preserve">T </w:t>
      </w:r>
      <w:r w:rsidRPr="00FC7EDF">
        <w:rPr>
          <w:b/>
          <w:bCs/>
        </w:rPr>
        <w:t>Level resources for universities</w:t>
      </w:r>
      <w:r>
        <w:t xml:space="preserve">”. See </w:t>
      </w:r>
      <w:hyperlink r:id="rId67" w:history="1">
        <w:r w:rsidRPr="00D909FD">
          <w:rPr>
            <w:rStyle w:val="Hyperlink"/>
          </w:rPr>
          <w:t>https://www.gov.uk/government/publications/t-level-resources-for-universities</w:t>
        </w:r>
      </w:hyperlink>
    </w:p>
    <w:p w14:paraId="6B45AB01" w14:textId="77777777" w:rsidR="00FC7EDF" w:rsidRDefault="00FC7EDF" w:rsidP="00FC7EDF">
      <w:pPr>
        <w:pStyle w:val="ListParagraph"/>
      </w:pPr>
    </w:p>
    <w:p w14:paraId="6F5F4AD8" w14:textId="48A72268" w:rsidR="00FC7EDF" w:rsidRPr="001B1CBE" w:rsidRDefault="00FC7EDF">
      <w:pPr>
        <w:pStyle w:val="ListParagraph"/>
        <w:numPr>
          <w:ilvl w:val="0"/>
          <w:numId w:val="16"/>
        </w:numPr>
        <w:spacing w:after="160" w:afterAutospacing="0" w:line="259" w:lineRule="auto"/>
        <w:rPr>
          <w:rStyle w:val="Hyperlink"/>
          <w:color w:val="auto"/>
          <w:u w:val="none"/>
        </w:rPr>
      </w:pPr>
      <w:r>
        <w:t>ESFA has issued “</w:t>
      </w:r>
      <w:r w:rsidRPr="00FC7EDF">
        <w:rPr>
          <w:b/>
          <w:bCs/>
        </w:rPr>
        <w:t>High needs funding: due diligence process for special post-16 providers</w:t>
      </w:r>
      <w:r>
        <w:t xml:space="preserve">. Information setting out the process that may lead to a grant funding arrangement with the Education and Skills Funding Agency for the delivery of education provision for high needs students”. See </w:t>
      </w:r>
      <w:hyperlink r:id="rId68" w:history="1">
        <w:r w:rsidRPr="00470945">
          <w:rPr>
            <w:rStyle w:val="Hyperlink"/>
          </w:rPr>
          <w:t>https://www.gov.uk/government/publications/high-needs-funding-due-diligence-process-for-new-special-post-16-providers</w:t>
        </w:r>
      </w:hyperlink>
    </w:p>
    <w:p w14:paraId="7A6928E1" w14:textId="77777777" w:rsidR="001B1CBE" w:rsidRDefault="001B1CBE" w:rsidP="001B1CBE">
      <w:pPr>
        <w:pStyle w:val="ListParagraph"/>
      </w:pPr>
    </w:p>
    <w:p w14:paraId="4EDFCA85" w14:textId="3C8EE665" w:rsidR="001B1CBE" w:rsidRDefault="001B1CBE" w:rsidP="001B1CBE">
      <w:pPr>
        <w:spacing w:after="160" w:afterAutospacing="0" w:line="259" w:lineRule="auto"/>
      </w:pPr>
    </w:p>
    <w:p w14:paraId="435AE211" w14:textId="77777777" w:rsidR="001B1CBE" w:rsidRPr="001C34CE" w:rsidRDefault="001B1CBE" w:rsidP="001B1CBE">
      <w:pPr>
        <w:rPr>
          <w:b/>
          <w:bCs/>
          <w:sz w:val="28"/>
          <w:szCs w:val="28"/>
        </w:rPr>
      </w:pPr>
      <w:r w:rsidRPr="001C34CE">
        <w:rPr>
          <w:b/>
          <w:bCs/>
          <w:sz w:val="28"/>
          <w:szCs w:val="28"/>
        </w:rPr>
        <w:t xml:space="preserve">Appendix </w:t>
      </w:r>
    </w:p>
    <w:p w14:paraId="109F8796" w14:textId="77777777" w:rsidR="001B1CBE" w:rsidRPr="001C34CE" w:rsidRDefault="001B1CBE" w:rsidP="001B1CBE">
      <w:pPr>
        <w:rPr>
          <w:b/>
          <w:bCs/>
          <w:sz w:val="28"/>
          <w:szCs w:val="28"/>
        </w:rPr>
      </w:pPr>
      <w:r w:rsidRPr="001C34CE">
        <w:rPr>
          <w:b/>
          <w:bCs/>
          <w:sz w:val="28"/>
          <w:szCs w:val="28"/>
        </w:rPr>
        <w:t>More detailed 2022 GCSE Results</w:t>
      </w:r>
    </w:p>
    <w:p w14:paraId="53213E10" w14:textId="77777777" w:rsidR="001B1CBE" w:rsidRPr="00843FA9" w:rsidRDefault="001B1CBE" w:rsidP="001B1CBE">
      <w:pPr>
        <w:spacing w:after="0"/>
        <w:rPr>
          <w:rFonts w:ascii="Times New Roman" w:eastAsia="Times New Roman" w:hAnsi="Times New Roman" w:cs="Times New Roman"/>
        </w:rPr>
      </w:pPr>
    </w:p>
    <w:p w14:paraId="3D56CAF9" w14:textId="77777777" w:rsidR="001B1CBE" w:rsidRPr="00843FA9" w:rsidRDefault="001B1CBE" w:rsidP="001B1CBE">
      <w:pPr>
        <w:spacing w:after="0"/>
        <w:rPr>
          <w:rFonts w:eastAsia="Times New Roman"/>
        </w:rPr>
      </w:pPr>
      <w:r w:rsidRPr="00843FA9">
        <w:rPr>
          <w:rFonts w:eastAsia="Times New Roman"/>
          <w:b/>
          <w:bCs/>
        </w:rPr>
        <w:t>Attainment by disadvantage status, pupils in state-funded schools in England, 2018/19 – 2021/22</w:t>
      </w:r>
    </w:p>
    <w:tbl>
      <w:tblPr>
        <w:tblW w:w="13218" w:type="dxa"/>
        <w:tblCellSpacing w:w="15" w:type="dxa"/>
        <w:tblCellMar>
          <w:top w:w="15" w:type="dxa"/>
          <w:left w:w="15" w:type="dxa"/>
          <w:bottom w:w="15" w:type="dxa"/>
          <w:right w:w="15" w:type="dxa"/>
        </w:tblCellMar>
        <w:tblLook w:val="04A0" w:firstRow="1" w:lastRow="0" w:firstColumn="1" w:lastColumn="0" w:noHBand="0" w:noVBand="1"/>
      </w:tblPr>
      <w:tblGrid>
        <w:gridCol w:w="2465"/>
        <w:gridCol w:w="3766"/>
        <w:gridCol w:w="1743"/>
        <w:gridCol w:w="1743"/>
        <w:gridCol w:w="1743"/>
        <w:gridCol w:w="1758"/>
      </w:tblGrid>
      <w:tr w:rsidR="001B1CBE" w:rsidRPr="00843FA9" w14:paraId="106E1044" w14:textId="77777777" w:rsidTr="00213810">
        <w:trPr>
          <w:tblHeader/>
          <w:tblCellSpacing w:w="15" w:type="dxa"/>
        </w:trPr>
        <w:tc>
          <w:tcPr>
            <w:tcW w:w="0" w:type="auto"/>
            <w:gridSpan w:val="2"/>
            <w:tcBorders>
              <w:bottom w:val="single" w:sz="6" w:space="0" w:color="B1B4B6"/>
            </w:tcBorders>
            <w:shd w:val="clear" w:color="auto" w:fill="FFFFFF"/>
            <w:tcMar>
              <w:top w:w="150" w:type="dxa"/>
              <w:left w:w="0" w:type="dxa"/>
              <w:bottom w:w="150" w:type="dxa"/>
              <w:right w:w="300" w:type="dxa"/>
            </w:tcMar>
            <w:hideMark/>
          </w:tcPr>
          <w:p w14:paraId="45B58028" w14:textId="77777777" w:rsidR="001B1CBE" w:rsidRPr="00843FA9" w:rsidRDefault="001B1CBE" w:rsidP="00213810">
            <w:pPr>
              <w:spacing w:after="0"/>
              <w:rPr>
                <w:rFonts w:eastAsia="Times New Roman"/>
              </w:rPr>
            </w:pP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5F02663B" w14:textId="77777777" w:rsidR="001B1CBE" w:rsidRPr="00843FA9" w:rsidRDefault="001B1CBE" w:rsidP="00213810">
            <w:pPr>
              <w:spacing w:after="450"/>
              <w:jc w:val="right"/>
              <w:rPr>
                <w:rFonts w:eastAsia="Times New Roman"/>
                <w:b/>
                <w:bCs/>
                <w:color w:val="0B0C0C"/>
              </w:rPr>
            </w:pPr>
            <w:r w:rsidRPr="00843FA9">
              <w:rPr>
                <w:rFonts w:eastAsia="Times New Roman"/>
                <w:b/>
                <w:bCs/>
                <w:color w:val="0B0C0C"/>
              </w:rPr>
              <w:t>2018/19</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7A18CE41" w14:textId="77777777" w:rsidR="001B1CBE" w:rsidRPr="00843FA9" w:rsidRDefault="001B1CBE" w:rsidP="00213810">
            <w:pPr>
              <w:spacing w:after="450"/>
              <w:jc w:val="right"/>
              <w:rPr>
                <w:rFonts w:eastAsia="Times New Roman"/>
                <w:b/>
                <w:bCs/>
                <w:color w:val="0B0C0C"/>
              </w:rPr>
            </w:pPr>
            <w:r w:rsidRPr="00843FA9">
              <w:rPr>
                <w:rFonts w:eastAsia="Times New Roman"/>
                <w:b/>
                <w:bCs/>
                <w:color w:val="0B0C0C"/>
              </w:rPr>
              <w:t>2019/20</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24AD983D" w14:textId="77777777" w:rsidR="001B1CBE" w:rsidRPr="00843FA9" w:rsidRDefault="001B1CBE" w:rsidP="00213810">
            <w:pPr>
              <w:spacing w:after="450"/>
              <w:jc w:val="right"/>
              <w:rPr>
                <w:rFonts w:eastAsia="Times New Roman"/>
                <w:b/>
                <w:bCs/>
                <w:color w:val="0B0C0C"/>
              </w:rPr>
            </w:pPr>
            <w:r w:rsidRPr="00843FA9">
              <w:rPr>
                <w:rFonts w:eastAsia="Times New Roman"/>
                <w:b/>
                <w:bCs/>
                <w:color w:val="0B0C0C"/>
              </w:rPr>
              <w:t>2020/21</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32B6231E" w14:textId="77777777" w:rsidR="001B1CBE" w:rsidRPr="00843FA9" w:rsidRDefault="001B1CBE" w:rsidP="00213810">
            <w:pPr>
              <w:spacing w:after="450"/>
              <w:jc w:val="right"/>
              <w:rPr>
                <w:rFonts w:eastAsia="Times New Roman"/>
                <w:b/>
                <w:bCs/>
                <w:color w:val="0B0C0C"/>
              </w:rPr>
            </w:pPr>
            <w:r w:rsidRPr="00843FA9">
              <w:rPr>
                <w:rFonts w:eastAsia="Times New Roman"/>
                <w:b/>
                <w:bCs/>
                <w:color w:val="0B0C0C"/>
              </w:rPr>
              <w:t>2021/22</w:t>
            </w:r>
          </w:p>
        </w:tc>
      </w:tr>
      <w:tr w:rsidR="001B1CBE" w:rsidRPr="00843FA9" w14:paraId="5E0CD593"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6972B66D" w14:textId="77777777" w:rsidR="001B1CBE" w:rsidRPr="00843FA9" w:rsidRDefault="001B1CBE" w:rsidP="00213810">
            <w:pPr>
              <w:spacing w:after="450"/>
              <w:rPr>
                <w:rFonts w:eastAsia="Times New Roman"/>
                <w:color w:val="0B0C0C"/>
              </w:rPr>
            </w:pPr>
            <w:r w:rsidRPr="00843FA9">
              <w:rPr>
                <w:rFonts w:eastAsia="Times New Roman"/>
                <w:color w:val="0B0C0C"/>
              </w:rPr>
              <w:t>Disadvantaged</w:t>
            </w:r>
          </w:p>
        </w:tc>
        <w:tc>
          <w:tcPr>
            <w:tcW w:w="0" w:type="auto"/>
            <w:tcBorders>
              <w:bottom w:val="single" w:sz="6" w:space="0" w:color="B1B4B6"/>
            </w:tcBorders>
            <w:shd w:val="clear" w:color="auto" w:fill="FFFFFF"/>
            <w:tcMar>
              <w:top w:w="150" w:type="dxa"/>
              <w:left w:w="0" w:type="dxa"/>
              <w:bottom w:w="150" w:type="dxa"/>
              <w:right w:w="300" w:type="dxa"/>
            </w:tcMar>
            <w:hideMark/>
          </w:tcPr>
          <w:p w14:paraId="70CD5680" w14:textId="77777777" w:rsidR="001B1CBE" w:rsidRPr="00843FA9" w:rsidRDefault="001B1CBE" w:rsidP="00213810">
            <w:pPr>
              <w:spacing w:after="450"/>
              <w:rPr>
                <w:rFonts w:eastAsia="Times New Roman"/>
                <w:color w:val="0B0C0C"/>
              </w:rPr>
            </w:pPr>
            <w:r w:rsidRPr="00843FA9">
              <w:rPr>
                <w:rFonts w:eastAsia="Times New Roman"/>
                <w:color w:val="0B0C0C"/>
              </w:rPr>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107C63B7" w14:textId="77777777" w:rsidR="001B1CBE" w:rsidRPr="00843FA9" w:rsidRDefault="001B1CBE" w:rsidP="00213810">
            <w:pPr>
              <w:spacing w:after="450"/>
              <w:jc w:val="right"/>
              <w:rPr>
                <w:rFonts w:eastAsia="Times New Roman"/>
                <w:color w:val="0B0C0C"/>
              </w:rPr>
            </w:pPr>
            <w:r w:rsidRPr="00843FA9">
              <w:rPr>
                <w:rFonts w:eastAsia="Times New Roman"/>
                <w:color w:val="0B0C0C"/>
              </w:rPr>
              <w:t>143,816</w:t>
            </w:r>
          </w:p>
        </w:tc>
        <w:tc>
          <w:tcPr>
            <w:tcW w:w="0" w:type="auto"/>
            <w:tcBorders>
              <w:bottom w:val="single" w:sz="6" w:space="0" w:color="B1B4B6"/>
            </w:tcBorders>
            <w:tcMar>
              <w:top w:w="150" w:type="dxa"/>
              <w:left w:w="150" w:type="dxa"/>
              <w:bottom w:w="150" w:type="dxa"/>
              <w:right w:w="150" w:type="dxa"/>
            </w:tcMar>
            <w:hideMark/>
          </w:tcPr>
          <w:p w14:paraId="0F0A16A9" w14:textId="77777777" w:rsidR="001B1CBE" w:rsidRPr="00843FA9" w:rsidRDefault="001B1CBE" w:rsidP="00213810">
            <w:pPr>
              <w:spacing w:after="450"/>
              <w:jc w:val="right"/>
              <w:rPr>
                <w:rFonts w:eastAsia="Times New Roman"/>
                <w:color w:val="0B0C0C"/>
              </w:rPr>
            </w:pPr>
            <w:r w:rsidRPr="00843FA9">
              <w:rPr>
                <w:rFonts w:eastAsia="Times New Roman"/>
                <w:color w:val="0B0C0C"/>
              </w:rPr>
              <w:t>146,214</w:t>
            </w:r>
          </w:p>
        </w:tc>
        <w:tc>
          <w:tcPr>
            <w:tcW w:w="0" w:type="auto"/>
            <w:tcBorders>
              <w:bottom w:val="single" w:sz="6" w:space="0" w:color="B1B4B6"/>
            </w:tcBorders>
            <w:tcMar>
              <w:top w:w="150" w:type="dxa"/>
              <w:left w:w="150" w:type="dxa"/>
              <w:bottom w:w="150" w:type="dxa"/>
              <w:right w:w="150" w:type="dxa"/>
            </w:tcMar>
            <w:hideMark/>
          </w:tcPr>
          <w:p w14:paraId="11140732" w14:textId="77777777" w:rsidR="001B1CBE" w:rsidRPr="00843FA9" w:rsidRDefault="001B1CBE" w:rsidP="00213810">
            <w:pPr>
              <w:spacing w:after="450"/>
              <w:jc w:val="right"/>
              <w:rPr>
                <w:rFonts w:eastAsia="Times New Roman"/>
                <w:color w:val="0B0C0C"/>
              </w:rPr>
            </w:pPr>
            <w:r w:rsidRPr="00843FA9">
              <w:rPr>
                <w:rFonts w:eastAsia="Times New Roman"/>
                <w:color w:val="0B0C0C"/>
              </w:rPr>
              <w:t>151,973</w:t>
            </w:r>
          </w:p>
        </w:tc>
        <w:tc>
          <w:tcPr>
            <w:tcW w:w="0" w:type="auto"/>
            <w:tcBorders>
              <w:bottom w:val="single" w:sz="6" w:space="0" w:color="B1B4B6"/>
            </w:tcBorders>
            <w:tcMar>
              <w:top w:w="150" w:type="dxa"/>
              <w:left w:w="150" w:type="dxa"/>
              <w:bottom w:w="150" w:type="dxa"/>
              <w:right w:w="150" w:type="dxa"/>
            </w:tcMar>
            <w:hideMark/>
          </w:tcPr>
          <w:p w14:paraId="4864CCAD" w14:textId="77777777" w:rsidR="001B1CBE" w:rsidRPr="00843FA9" w:rsidRDefault="001B1CBE" w:rsidP="00213810">
            <w:pPr>
              <w:spacing w:after="450"/>
              <w:jc w:val="right"/>
              <w:rPr>
                <w:rFonts w:eastAsia="Times New Roman"/>
                <w:color w:val="0B0C0C"/>
              </w:rPr>
            </w:pPr>
            <w:r w:rsidRPr="00843FA9">
              <w:rPr>
                <w:rFonts w:eastAsia="Times New Roman"/>
                <w:color w:val="0B0C0C"/>
              </w:rPr>
              <w:t>154,850</w:t>
            </w:r>
          </w:p>
        </w:tc>
      </w:tr>
      <w:tr w:rsidR="001B1CBE" w:rsidRPr="00843FA9" w14:paraId="433BE04D" w14:textId="77777777" w:rsidTr="00213810">
        <w:trPr>
          <w:tblCellSpacing w:w="15" w:type="dxa"/>
        </w:trPr>
        <w:tc>
          <w:tcPr>
            <w:tcW w:w="0" w:type="auto"/>
            <w:vMerge/>
            <w:tcBorders>
              <w:bottom w:val="single" w:sz="6" w:space="0" w:color="B1B4B6"/>
            </w:tcBorders>
            <w:vAlign w:val="center"/>
            <w:hideMark/>
          </w:tcPr>
          <w:p w14:paraId="2D6A423E"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07C1632" w14:textId="77777777" w:rsidR="001B1CBE" w:rsidRPr="00843FA9" w:rsidRDefault="001B1CBE" w:rsidP="00213810">
            <w:pPr>
              <w:spacing w:after="450"/>
              <w:rPr>
                <w:rFonts w:eastAsia="Times New Roman"/>
                <w:color w:val="0B0C0C"/>
              </w:rPr>
            </w:pPr>
            <w:r w:rsidRPr="00843FA9">
              <w:rPr>
                <w:rFonts w:eastAsia="Times New Roman"/>
                <w:color w:val="0B0C0C"/>
              </w:rPr>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136C558E" w14:textId="77777777" w:rsidR="001B1CBE" w:rsidRPr="00843FA9" w:rsidRDefault="001B1CBE" w:rsidP="00213810">
            <w:pPr>
              <w:spacing w:after="450"/>
              <w:jc w:val="right"/>
              <w:rPr>
                <w:rFonts w:eastAsia="Times New Roman"/>
                <w:color w:val="0B0C0C"/>
              </w:rPr>
            </w:pPr>
            <w:r w:rsidRPr="00843FA9">
              <w:rPr>
                <w:rFonts w:eastAsia="Times New Roman"/>
                <w:color w:val="0B0C0C"/>
              </w:rPr>
              <w:t>27.5%</w:t>
            </w:r>
          </w:p>
        </w:tc>
        <w:tc>
          <w:tcPr>
            <w:tcW w:w="0" w:type="auto"/>
            <w:tcBorders>
              <w:bottom w:val="single" w:sz="6" w:space="0" w:color="B1B4B6"/>
            </w:tcBorders>
            <w:tcMar>
              <w:top w:w="150" w:type="dxa"/>
              <w:left w:w="150" w:type="dxa"/>
              <w:bottom w:w="150" w:type="dxa"/>
              <w:right w:w="150" w:type="dxa"/>
            </w:tcMar>
            <w:hideMark/>
          </w:tcPr>
          <w:p w14:paraId="3E1AF6D0" w14:textId="77777777" w:rsidR="001B1CBE" w:rsidRPr="00843FA9" w:rsidRDefault="001B1CBE" w:rsidP="00213810">
            <w:pPr>
              <w:spacing w:after="450"/>
              <w:jc w:val="right"/>
              <w:rPr>
                <w:rFonts w:eastAsia="Times New Roman"/>
                <w:color w:val="0B0C0C"/>
              </w:rPr>
            </w:pPr>
            <w:r w:rsidRPr="00843FA9">
              <w:rPr>
                <w:rFonts w:eastAsia="Times New Roman"/>
                <w:color w:val="0B0C0C"/>
              </w:rPr>
              <w:t>27.8%</w:t>
            </w:r>
          </w:p>
        </w:tc>
        <w:tc>
          <w:tcPr>
            <w:tcW w:w="0" w:type="auto"/>
            <w:tcBorders>
              <w:bottom w:val="single" w:sz="6" w:space="0" w:color="B1B4B6"/>
            </w:tcBorders>
            <w:tcMar>
              <w:top w:w="150" w:type="dxa"/>
              <w:left w:w="150" w:type="dxa"/>
              <w:bottom w:w="150" w:type="dxa"/>
              <w:right w:w="150" w:type="dxa"/>
            </w:tcMar>
            <w:hideMark/>
          </w:tcPr>
          <w:p w14:paraId="2B7B5551" w14:textId="77777777" w:rsidR="001B1CBE" w:rsidRPr="00843FA9" w:rsidRDefault="001B1CBE" w:rsidP="00213810">
            <w:pPr>
              <w:spacing w:after="450"/>
              <w:jc w:val="right"/>
              <w:rPr>
                <w:rFonts w:eastAsia="Times New Roman"/>
                <w:color w:val="0B0C0C"/>
              </w:rPr>
            </w:pPr>
            <w:r w:rsidRPr="00843FA9">
              <w:rPr>
                <w:rFonts w:eastAsia="Times New Roman"/>
                <w:color w:val="0B0C0C"/>
              </w:rPr>
              <w:t>27.0%</w:t>
            </w:r>
          </w:p>
        </w:tc>
        <w:tc>
          <w:tcPr>
            <w:tcW w:w="0" w:type="auto"/>
            <w:tcBorders>
              <w:bottom w:val="single" w:sz="6" w:space="0" w:color="B1B4B6"/>
            </w:tcBorders>
            <w:tcMar>
              <w:top w:w="150" w:type="dxa"/>
              <w:left w:w="150" w:type="dxa"/>
              <w:bottom w:w="150" w:type="dxa"/>
              <w:right w:w="150" w:type="dxa"/>
            </w:tcMar>
            <w:hideMark/>
          </w:tcPr>
          <w:p w14:paraId="3584D067" w14:textId="77777777" w:rsidR="001B1CBE" w:rsidRPr="00843FA9" w:rsidRDefault="001B1CBE" w:rsidP="00213810">
            <w:pPr>
              <w:spacing w:after="450"/>
              <w:jc w:val="right"/>
              <w:rPr>
                <w:rFonts w:eastAsia="Times New Roman"/>
                <w:color w:val="0B0C0C"/>
              </w:rPr>
            </w:pPr>
            <w:r w:rsidRPr="00843FA9">
              <w:rPr>
                <w:rFonts w:eastAsia="Times New Roman"/>
                <w:color w:val="0B0C0C"/>
              </w:rPr>
              <w:t>26.9%</w:t>
            </w:r>
          </w:p>
        </w:tc>
      </w:tr>
      <w:tr w:rsidR="001B1CBE" w:rsidRPr="00843FA9" w14:paraId="1F46BF80" w14:textId="77777777" w:rsidTr="00213810">
        <w:trPr>
          <w:tblCellSpacing w:w="15" w:type="dxa"/>
        </w:trPr>
        <w:tc>
          <w:tcPr>
            <w:tcW w:w="0" w:type="auto"/>
            <w:vMerge/>
            <w:tcBorders>
              <w:bottom w:val="single" w:sz="6" w:space="0" w:color="B1B4B6"/>
            </w:tcBorders>
            <w:vAlign w:val="center"/>
            <w:hideMark/>
          </w:tcPr>
          <w:p w14:paraId="6B18BE7D"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2F50BD6B" w14:textId="77777777" w:rsidR="001B1CBE" w:rsidRPr="00843FA9" w:rsidRDefault="001B1CBE" w:rsidP="00213810">
            <w:pPr>
              <w:spacing w:after="450"/>
              <w:rPr>
                <w:rFonts w:eastAsia="Times New Roman"/>
                <w:color w:val="0B0C0C"/>
              </w:rPr>
            </w:pPr>
            <w:r w:rsidRPr="00843FA9">
              <w:rPr>
                <w:rFonts w:eastAsia="Times New Roman"/>
                <w:color w:val="0B0C0C"/>
              </w:rPr>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477F7D06" w14:textId="77777777" w:rsidR="001B1CBE" w:rsidRPr="00843FA9" w:rsidRDefault="001B1CBE" w:rsidP="00213810">
            <w:pPr>
              <w:spacing w:after="450"/>
              <w:jc w:val="right"/>
              <w:rPr>
                <w:rFonts w:eastAsia="Times New Roman"/>
                <w:color w:val="0B0C0C"/>
              </w:rPr>
            </w:pPr>
            <w:r w:rsidRPr="00843FA9">
              <w:rPr>
                <w:rFonts w:eastAsia="Times New Roman"/>
                <w:color w:val="0B0C0C"/>
              </w:rPr>
              <w:t>24.7%</w:t>
            </w:r>
          </w:p>
        </w:tc>
        <w:tc>
          <w:tcPr>
            <w:tcW w:w="0" w:type="auto"/>
            <w:tcBorders>
              <w:bottom w:val="single" w:sz="6" w:space="0" w:color="B1B4B6"/>
            </w:tcBorders>
            <w:tcMar>
              <w:top w:w="150" w:type="dxa"/>
              <w:left w:w="150" w:type="dxa"/>
              <w:bottom w:w="150" w:type="dxa"/>
              <w:right w:w="150" w:type="dxa"/>
            </w:tcMar>
            <w:hideMark/>
          </w:tcPr>
          <w:p w14:paraId="00EC3024" w14:textId="77777777" w:rsidR="001B1CBE" w:rsidRPr="00843FA9" w:rsidRDefault="001B1CBE" w:rsidP="00213810">
            <w:pPr>
              <w:spacing w:after="450"/>
              <w:jc w:val="right"/>
              <w:rPr>
                <w:rFonts w:eastAsia="Times New Roman"/>
                <w:color w:val="0B0C0C"/>
              </w:rPr>
            </w:pPr>
            <w:r w:rsidRPr="00843FA9">
              <w:rPr>
                <w:rFonts w:eastAsia="Times New Roman"/>
                <w:color w:val="0B0C0C"/>
              </w:rPr>
              <w:t>30.4%</w:t>
            </w:r>
          </w:p>
        </w:tc>
        <w:tc>
          <w:tcPr>
            <w:tcW w:w="0" w:type="auto"/>
            <w:tcBorders>
              <w:bottom w:val="single" w:sz="6" w:space="0" w:color="B1B4B6"/>
            </w:tcBorders>
            <w:tcMar>
              <w:top w:w="150" w:type="dxa"/>
              <w:left w:w="150" w:type="dxa"/>
              <w:bottom w:w="150" w:type="dxa"/>
              <w:right w:w="150" w:type="dxa"/>
            </w:tcMar>
            <w:hideMark/>
          </w:tcPr>
          <w:p w14:paraId="7FFF8A33" w14:textId="77777777" w:rsidR="001B1CBE" w:rsidRPr="00843FA9" w:rsidRDefault="001B1CBE" w:rsidP="00213810">
            <w:pPr>
              <w:spacing w:after="450"/>
              <w:jc w:val="right"/>
              <w:rPr>
                <w:rFonts w:eastAsia="Times New Roman"/>
                <w:color w:val="0B0C0C"/>
              </w:rPr>
            </w:pPr>
            <w:r w:rsidRPr="00843FA9">
              <w:rPr>
                <w:rFonts w:eastAsia="Times New Roman"/>
                <w:color w:val="0B0C0C"/>
              </w:rPr>
              <w:t>31.7%</w:t>
            </w:r>
          </w:p>
        </w:tc>
        <w:tc>
          <w:tcPr>
            <w:tcW w:w="0" w:type="auto"/>
            <w:tcBorders>
              <w:bottom w:val="single" w:sz="6" w:space="0" w:color="B1B4B6"/>
            </w:tcBorders>
            <w:tcMar>
              <w:top w:w="150" w:type="dxa"/>
              <w:left w:w="150" w:type="dxa"/>
              <w:bottom w:w="150" w:type="dxa"/>
              <w:right w:w="150" w:type="dxa"/>
            </w:tcMar>
            <w:hideMark/>
          </w:tcPr>
          <w:p w14:paraId="0965BE6B" w14:textId="77777777" w:rsidR="001B1CBE" w:rsidRPr="00843FA9" w:rsidRDefault="001B1CBE" w:rsidP="00213810">
            <w:pPr>
              <w:spacing w:after="450"/>
              <w:jc w:val="right"/>
              <w:rPr>
                <w:rFonts w:eastAsia="Times New Roman"/>
                <w:color w:val="0B0C0C"/>
              </w:rPr>
            </w:pPr>
            <w:r w:rsidRPr="00843FA9">
              <w:rPr>
                <w:rFonts w:eastAsia="Times New Roman"/>
                <w:color w:val="0B0C0C"/>
              </w:rPr>
              <w:t>29.5%</w:t>
            </w:r>
          </w:p>
        </w:tc>
      </w:tr>
      <w:tr w:rsidR="001B1CBE" w:rsidRPr="00843FA9" w14:paraId="2FC19006" w14:textId="77777777" w:rsidTr="00213810">
        <w:trPr>
          <w:tblCellSpacing w:w="15" w:type="dxa"/>
        </w:trPr>
        <w:tc>
          <w:tcPr>
            <w:tcW w:w="0" w:type="auto"/>
            <w:vMerge/>
            <w:tcBorders>
              <w:bottom w:val="single" w:sz="6" w:space="0" w:color="B1B4B6"/>
            </w:tcBorders>
            <w:vAlign w:val="center"/>
            <w:hideMark/>
          </w:tcPr>
          <w:p w14:paraId="782D66EA"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00D221E9" w14:textId="77777777" w:rsidR="001B1CBE" w:rsidRPr="00843FA9" w:rsidRDefault="001B1CBE" w:rsidP="00213810">
            <w:pPr>
              <w:spacing w:after="450"/>
              <w:rPr>
                <w:rFonts w:eastAsia="Times New Roman"/>
                <w:color w:val="0B0C0C"/>
              </w:rPr>
            </w:pPr>
            <w:r w:rsidRPr="00843FA9">
              <w:rPr>
                <w:rFonts w:eastAsia="Times New Roman"/>
                <w:color w:val="0B0C0C"/>
              </w:rPr>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186BA7B6" w14:textId="77777777" w:rsidR="001B1CBE" w:rsidRPr="00843FA9" w:rsidRDefault="001B1CBE" w:rsidP="00213810">
            <w:pPr>
              <w:spacing w:after="450"/>
              <w:jc w:val="right"/>
              <w:rPr>
                <w:rFonts w:eastAsia="Times New Roman"/>
                <w:color w:val="0B0C0C"/>
              </w:rPr>
            </w:pPr>
            <w:r w:rsidRPr="00843FA9">
              <w:rPr>
                <w:rFonts w:eastAsia="Times New Roman"/>
                <w:color w:val="0B0C0C"/>
              </w:rPr>
              <w:t>36.7</w:t>
            </w:r>
          </w:p>
        </w:tc>
        <w:tc>
          <w:tcPr>
            <w:tcW w:w="0" w:type="auto"/>
            <w:tcBorders>
              <w:bottom w:val="single" w:sz="6" w:space="0" w:color="B1B4B6"/>
            </w:tcBorders>
            <w:tcMar>
              <w:top w:w="150" w:type="dxa"/>
              <w:left w:w="150" w:type="dxa"/>
              <w:bottom w:w="150" w:type="dxa"/>
              <w:right w:w="150" w:type="dxa"/>
            </w:tcMar>
            <w:hideMark/>
          </w:tcPr>
          <w:p w14:paraId="750DB034" w14:textId="77777777" w:rsidR="001B1CBE" w:rsidRPr="00843FA9" w:rsidRDefault="001B1CBE" w:rsidP="00213810">
            <w:pPr>
              <w:spacing w:after="450"/>
              <w:jc w:val="right"/>
              <w:rPr>
                <w:rFonts w:eastAsia="Times New Roman"/>
                <w:color w:val="0B0C0C"/>
              </w:rPr>
            </w:pPr>
            <w:r w:rsidRPr="00843FA9">
              <w:rPr>
                <w:rFonts w:eastAsia="Times New Roman"/>
                <w:color w:val="0B0C0C"/>
              </w:rPr>
              <w:t>40.2</w:t>
            </w:r>
          </w:p>
        </w:tc>
        <w:tc>
          <w:tcPr>
            <w:tcW w:w="0" w:type="auto"/>
            <w:tcBorders>
              <w:bottom w:val="single" w:sz="6" w:space="0" w:color="B1B4B6"/>
            </w:tcBorders>
            <w:tcMar>
              <w:top w:w="150" w:type="dxa"/>
              <w:left w:w="150" w:type="dxa"/>
              <w:bottom w:w="150" w:type="dxa"/>
              <w:right w:w="150" w:type="dxa"/>
            </w:tcMar>
            <w:hideMark/>
          </w:tcPr>
          <w:p w14:paraId="292DC459" w14:textId="77777777" w:rsidR="001B1CBE" w:rsidRPr="00843FA9" w:rsidRDefault="001B1CBE" w:rsidP="00213810">
            <w:pPr>
              <w:spacing w:after="450"/>
              <w:jc w:val="right"/>
              <w:rPr>
                <w:rFonts w:eastAsia="Times New Roman"/>
                <w:color w:val="0B0C0C"/>
              </w:rPr>
            </w:pPr>
            <w:r w:rsidRPr="00843FA9">
              <w:rPr>
                <w:rFonts w:eastAsia="Times New Roman"/>
                <w:color w:val="0B0C0C"/>
              </w:rPr>
              <w:t>40.3</w:t>
            </w:r>
          </w:p>
        </w:tc>
        <w:tc>
          <w:tcPr>
            <w:tcW w:w="0" w:type="auto"/>
            <w:tcBorders>
              <w:bottom w:val="single" w:sz="6" w:space="0" w:color="B1B4B6"/>
            </w:tcBorders>
            <w:tcMar>
              <w:top w:w="150" w:type="dxa"/>
              <w:left w:w="150" w:type="dxa"/>
              <w:bottom w:w="150" w:type="dxa"/>
              <w:right w:w="150" w:type="dxa"/>
            </w:tcMar>
            <w:hideMark/>
          </w:tcPr>
          <w:p w14:paraId="5BD25988" w14:textId="77777777" w:rsidR="001B1CBE" w:rsidRPr="00843FA9" w:rsidRDefault="001B1CBE" w:rsidP="00213810">
            <w:pPr>
              <w:spacing w:after="450"/>
              <w:jc w:val="right"/>
              <w:rPr>
                <w:rFonts w:eastAsia="Times New Roman"/>
                <w:color w:val="0B0C0C"/>
              </w:rPr>
            </w:pPr>
            <w:r w:rsidRPr="00843FA9">
              <w:rPr>
                <w:rFonts w:eastAsia="Times New Roman"/>
                <w:color w:val="0B0C0C"/>
              </w:rPr>
              <w:t>37.5</w:t>
            </w:r>
          </w:p>
        </w:tc>
      </w:tr>
      <w:tr w:rsidR="001B1CBE" w:rsidRPr="00843FA9" w14:paraId="55A84CAD" w14:textId="77777777" w:rsidTr="00213810">
        <w:trPr>
          <w:tblCellSpacing w:w="15" w:type="dxa"/>
        </w:trPr>
        <w:tc>
          <w:tcPr>
            <w:tcW w:w="0" w:type="auto"/>
            <w:vMerge/>
            <w:tcBorders>
              <w:bottom w:val="single" w:sz="6" w:space="0" w:color="B1B4B6"/>
            </w:tcBorders>
            <w:vAlign w:val="center"/>
            <w:hideMark/>
          </w:tcPr>
          <w:p w14:paraId="2FBEF2F3"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4B7B13AB" w14:textId="77777777" w:rsidR="001B1CBE" w:rsidRPr="00843FA9" w:rsidRDefault="001B1CBE" w:rsidP="00213810">
            <w:pPr>
              <w:spacing w:after="450"/>
              <w:rPr>
                <w:rFonts w:eastAsia="Times New Roman"/>
                <w:color w:val="0B0C0C"/>
              </w:rPr>
            </w:pPr>
            <w:r w:rsidRPr="00843FA9">
              <w:rPr>
                <w:rFonts w:eastAsia="Times New Roman"/>
                <w:color w:val="0B0C0C"/>
              </w:rPr>
              <w:t>Average EBacc APS score per pupil</w:t>
            </w:r>
          </w:p>
        </w:tc>
        <w:tc>
          <w:tcPr>
            <w:tcW w:w="0" w:type="auto"/>
            <w:tcBorders>
              <w:bottom w:val="single" w:sz="6" w:space="0" w:color="B1B4B6"/>
            </w:tcBorders>
            <w:tcMar>
              <w:top w:w="150" w:type="dxa"/>
              <w:left w:w="150" w:type="dxa"/>
              <w:bottom w:w="150" w:type="dxa"/>
              <w:right w:w="150" w:type="dxa"/>
            </w:tcMar>
            <w:hideMark/>
          </w:tcPr>
          <w:p w14:paraId="4BAE5439" w14:textId="77777777" w:rsidR="001B1CBE" w:rsidRPr="00843FA9" w:rsidRDefault="001B1CBE" w:rsidP="00213810">
            <w:pPr>
              <w:spacing w:after="450"/>
              <w:jc w:val="right"/>
              <w:rPr>
                <w:rFonts w:eastAsia="Times New Roman"/>
                <w:color w:val="0B0C0C"/>
              </w:rPr>
            </w:pPr>
            <w:r w:rsidRPr="00843FA9">
              <w:rPr>
                <w:rFonts w:eastAsia="Times New Roman"/>
                <w:color w:val="0B0C0C"/>
              </w:rPr>
              <w:t>3.08</w:t>
            </w:r>
          </w:p>
        </w:tc>
        <w:tc>
          <w:tcPr>
            <w:tcW w:w="0" w:type="auto"/>
            <w:tcBorders>
              <w:bottom w:val="single" w:sz="6" w:space="0" w:color="B1B4B6"/>
            </w:tcBorders>
            <w:tcMar>
              <w:top w:w="150" w:type="dxa"/>
              <w:left w:w="150" w:type="dxa"/>
              <w:bottom w:w="150" w:type="dxa"/>
              <w:right w:w="150" w:type="dxa"/>
            </w:tcMar>
            <w:hideMark/>
          </w:tcPr>
          <w:p w14:paraId="79E1E505" w14:textId="77777777" w:rsidR="001B1CBE" w:rsidRPr="00843FA9" w:rsidRDefault="001B1CBE" w:rsidP="00213810">
            <w:pPr>
              <w:spacing w:after="450"/>
              <w:jc w:val="right"/>
              <w:rPr>
                <w:rFonts w:eastAsia="Times New Roman"/>
                <w:color w:val="0B0C0C"/>
              </w:rPr>
            </w:pPr>
            <w:r w:rsidRPr="00843FA9">
              <w:rPr>
                <w:rFonts w:eastAsia="Times New Roman"/>
                <w:color w:val="0B0C0C"/>
              </w:rPr>
              <w:t>3.39</w:t>
            </w:r>
          </w:p>
        </w:tc>
        <w:tc>
          <w:tcPr>
            <w:tcW w:w="0" w:type="auto"/>
            <w:tcBorders>
              <w:bottom w:val="single" w:sz="6" w:space="0" w:color="B1B4B6"/>
            </w:tcBorders>
            <w:tcMar>
              <w:top w:w="150" w:type="dxa"/>
              <w:left w:w="150" w:type="dxa"/>
              <w:bottom w:w="150" w:type="dxa"/>
              <w:right w:w="150" w:type="dxa"/>
            </w:tcMar>
            <w:hideMark/>
          </w:tcPr>
          <w:p w14:paraId="6A1BFA9B" w14:textId="77777777" w:rsidR="001B1CBE" w:rsidRPr="00843FA9" w:rsidRDefault="001B1CBE" w:rsidP="00213810">
            <w:pPr>
              <w:spacing w:after="450"/>
              <w:jc w:val="right"/>
              <w:rPr>
                <w:rFonts w:eastAsia="Times New Roman"/>
                <w:color w:val="0B0C0C"/>
              </w:rPr>
            </w:pPr>
            <w:r w:rsidRPr="00843FA9">
              <w:rPr>
                <w:rFonts w:eastAsia="Times New Roman"/>
                <w:color w:val="0B0C0C"/>
              </w:rPr>
              <w:t>3.40</w:t>
            </w:r>
          </w:p>
        </w:tc>
        <w:tc>
          <w:tcPr>
            <w:tcW w:w="0" w:type="auto"/>
            <w:tcBorders>
              <w:bottom w:val="single" w:sz="6" w:space="0" w:color="B1B4B6"/>
            </w:tcBorders>
            <w:tcMar>
              <w:top w:w="150" w:type="dxa"/>
              <w:left w:w="150" w:type="dxa"/>
              <w:bottom w:w="150" w:type="dxa"/>
              <w:right w:w="150" w:type="dxa"/>
            </w:tcMar>
            <w:hideMark/>
          </w:tcPr>
          <w:p w14:paraId="4E6A0E02" w14:textId="77777777" w:rsidR="001B1CBE" w:rsidRPr="00843FA9" w:rsidRDefault="001B1CBE" w:rsidP="00213810">
            <w:pPr>
              <w:spacing w:after="450"/>
              <w:jc w:val="right"/>
              <w:rPr>
                <w:rFonts w:eastAsia="Times New Roman"/>
                <w:color w:val="0B0C0C"/>
              </w:rPr>
            </w:pPr>
            <w:r w:rsidRPr="00843FA9">
              <w:rPr>
                <w:rFonts w:eastAsia="Times New Roman"/>
                <w:color w:val="0B0C0C"/>
              </w:rPr>
              <w:t>3.19</w:t>
            </w:r>
          </w:p>
        </w:tc>
      </w:tr>
      <w:tr w:rsidR="001B1CBE" w:rsidRPr="00843FA9" w14:paraId="48AAD8DD"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34925C8B" w14:textId="77777777" w:rsidR="001B1CBE" w:rsidRPr="00843FA9" w:rsidRDefault="001B1CBE" w:rsidP="00213810">
            <w:pPr>
              <w:spacing w:after="450"/>
              <w:rPr>
                <w:rFonts w:eastAsia="Times New Roman"/>
                <w:color w:val="0B0C0C"/>
              </w:rPr>
            </w:pPr>
            <w:r w:rsidRPr="00843FA9">
              <w:rPr>
                <w:rFonts w:eastAsia="Times New Roman"/>
                <w:color w:val="0B0C0C"/>
              </w:rPr>
              <w:t>Disadvantaged all other</w:t>
            </w:r>
          </w:p>
        </w:tc>
        <w:tc>
          <w:tcPr>
            <w:tcW w:w="0" w:type="auto"/>
            <w:tcBorders>
              <w:bottom w:val="single" w:sz="6" w:space="0" w:color="B1B4B6"/>
            </w:tcBorders>
            <w:shd w:val="clear" w:color="auto" w:fill="FFFFFF"/>
            <w:tcMar>
              <w:top w:w="150" w:type="dxa"/>
              <w:left w:w="0" w:type="dxa"/>
              <w:bottom w:w="150" w:type="dxa"/>
              <w:right w:w="300" w:type="dxa"/>
            </w:tcMar>
            <w:hideMark/>
          </w:tcPr>
          <w:p w14:paraId="6DF51636" w14:textId="77777777" w:rsidR="001B1CBE" w:rsidRPr="00843FA9" w:rsidRDefault="001B1CBE" w:rsidP="00213810">
            <w:pPr>
              <w:spacing w:after="450"/>
              <w:rPr>
                <w:rFonts w:eastAsia="Times New Roman"/>
                <w:color w:val="0B0C0C"/>
              </w:rPr>
            </w:pPr>
            <w:r w:rsidRPr="00843FA9">
              <w:rPr>
                <w:rFonts w:eastAsia="Times New Roman"/>
                <w:color w:val="0B0C0C"/>
              </w:rPr>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6E620E06" w14:textId="77777777" w:rsidR="001B1CBE" w:rsidRPr="00843FA9" w:rsidRDefault="001B1CBE" w:rsidP="00213810">
            <w:pPr>
              <w:spacing w:after="450"/>
              <w:jc w:val="right"/>
              <w:rPr>
                <w:rFonts w:eastAsia="Times New Roman"/>
                <w:color w:val="0B0C0C"/>
              </w:rPr>
            </w:pPr>
            <w:r w:rsidRPr="00843FA9">
              <w:rPr>
                <w:rFonts w:eastAsia="Times New Roman"/>
                <w:color w:val="0B0C0C"/>
              </w:rPr>
              <w:t>398,805</w:t>
            </w:r>
          </w:p>
        </w:tc>
        <w:tc>
          <w:tcPr>
            <w:tcW w:w="0" w:type="auto"/>
            <w:tcBorders>
              <w:bottom w:val="single" w:sz="6" w:space="0" w:color="B1B4B6"/>
            </w:tcBorders>
            <w:tcMar>
              <w:top w:w="150" w:type="dxa"/>
              <w:left w:w="150" w:type="dxa"/>
              <w:bottom w:w="150" w:type="dxa"/>
              <w:right w:w="150" w:type="dxa"/>
            </w:tcMar>
            <w:hideMark/>
          </w:tcPr>
          <w:p w14:paraId="42C0F87C" w14:textId="77777777" w:rsidR="001B1CBE" w:rsidRPr="00843FA9" w:rsidRDefault="001B1CBE" w:rsidP="00213810">
            <w:pPr>
              <w:spacing w:after="450"/>
              <w:jc w:val="right"/>
              <w:rPr>
                <w:rFonts w:eastAsia="Times New Roman"/>
                <w:color w:val="0B0C0C"/>
              </w:rPr>
            </w:pPr>
            <w:r w:rsidRPr="00843FA9">
              <w:rPr>
                <w:rFonts w:eastAsia="Times New Roman"/>
                <w:color w:val="0B0C0C"/>
              </w:rPr>
              <w:t>415,780</w:t>
            </w:r>
          </w:p>
        </w:tc>
        <w:tc>
          <w:tcPr>
            <w:tcW w:w="0" w:type="auto"/>
            <w:tcBorders>
              <w:bottom w:val="single" w:sz="6" w:space="0" w:color="B1B4B6"/>
            </w:tcBorders>
            <w:tcMar>
              <w:top w:w="150" w:type="dxa"/>
              <w:left w:w="150" w:type="dxa"/>
              <w:bottom w:w="150" w:type="dxa"/>
              <w:right w:w="150" w:type="dxa"/>
            </w:tcMar>
            <w:hideMark/>
          </w:tcPr>
          <w:p w14:paraId="00099414" w14:textId="77777777" w:rsidR="001B1CBE" w:rsidRPr="00843FA9" w:rsidRDefault="001B1CBE" w:rsidP="00213810">
            <w:pPr>
              <w:spacing w:after="450"/>
              <w:jc w:val="right"/>
              <w:rPr>
                <w:rFonts w:eastAsia="Times New Roman"/>
                <w:color w:val="0B0C0C"/>
              </w:rPr>
            </w:pPr>
            <w:r w:rsidRPr="00843FA9">
              <w:rPr>
                <w:rFonts w:eastAsia="Times New Roman"/>
                <w:color w:val="0B0C0C"/>
              </w:rPr>
              <w:t>423,890</w:t>
            </w:r>
          </w:p>
        </w:tc>
        <w:tc>
          <w:tcPr>
            <w:tcW w:w="0" w:type="auto"/>
            <w:tcBorders>
              <w:bottom w:val="single" w:sz="6" w:space="0" w:color="B1B4B6"/>
            </w:tcBorders>
            <w:tcMar>
              <w:top w:w="150" w:type="dxa"/>
              <w:left w:w="150" w:type="dxa"/>
              <w:bottom w:w="150" w:type="dxa"/>
              <w:right w:w="150" w:type="dxa"/>
            </w:tcMar>
            <w:hideMark/>
          </w:tcPr>
          <w:p w14:paraId="0A826D61" w14:textId="77777777" w:rsidR="001B1CBE" w:rsidRPr="00843FA9" w:rsidRDefault="001B1CBE" w:rsidP="00213810">
            <w:pPr>
              <w:spacing w:after="450"/>
              <w:jc w:val="right"/>
              <w:rPr>
                <w:rFonts w:eastAsia="Times New Roman"/>
                <w:color w:val="0B0C0C"/>
              </w:rPr>
            </w:pPr>
            <w:r w:rsidRPr="00843FA9">
              <w:rPr>
                <w:rFonts w:eastAsia="Times New Roman"/>
                <w:color w:val="0B0C0C"/>
              </w:rPr>
              <w:t>432,831</w:t>
            </w:r>
          </w:p>
        </w:tc>
      </w:tr>
      <w:tr w:rsidR="001B1CBE" w:rsidRPr="00843FA9" w14:paraId="2CF29C65" w14:textId="77777777" w:rsidTr="00213810">
        <w:trPr>
          <w:tblCellSpacing w:w="15" w:type="dxa"/>
        </w:trPr>
        <w:tc>
          <w:tcPr>
            <w:tcW w:w="0" w:type="auto"/>
            <w:vMerge/>
            <w:tcBorders>
              <w:bottom w:val="single" w:sz="6" w:space="0" w:color="B1B4B6"/>
            </w:tcBorders>
            <w:vAlign w:val="center"/>
            <w:hideMark/>
          </w:tcPr>
          <w:p w14:paraId="5D4E6760"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23E0B461" w14:textId="77777777" w:rsidR="001B1CBE" w:rsidRPr="00843FA9" w:rsidRDefault="001B1CBE" w:rsidP="00213810">
            <w:pPr>
              <w:spacing w:after="450"/>
              <w:rPr>
                <w:rFonts w:eastAsia="Times New Roman"/>
                <w:color w:val="0B0C0C"/>
              </w:rPr>
            </w:pPr>
            <w:r w:rsidRPr="00843FA9">
              <w:rPr>
                <w:rFonts w:eastAsia="Times New Roman"/>
                <w:color w:val="0B0C0C"/>
              </w:rPr>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7E74B34B" w14:textId="77777777" w:rsidR="001B1CBE" w:rsidRPr="00843FA9" w:rsidRDefault="001B1CBE" w:rsidP="00213810">
            <w:pPr>
              <w:spacing w:after="450"/>
              <w:jc w:val="right"/>
              <w:rPr>
                <w:rFonts w:eastAsia="Times New Roman"/>
                <w:color w:val="0B0C0C"/>
              </w:rPr>
            </w:pPr>
            <w:r w:rsidRPr="00843FA9">
              <w:rPr>
                <w:rFonts w:eastAsia="Times New Roman"/>
                <w:color w:val="0B0C0C"/>
              </w:rPr>
              <w:t>44.5%</w:t>
            </w:r>
          </w:p>
        </w:tc>
        <w:tc>
          <w:tcPr>
            <w:tcW w:w="0" w:type="auto"/>
            <w:tcBorders>
              <w:bottom w:val="single" w:sz="6" w:space="0" w:color="B1B4B6"/>
            </w:tcBorders>
            <w:tcMar>
              <w:top w:w="150" w:type="dxa"/>
              <w:left w:w="150" w:type="dxa"/>
              <w:bottom w:w="150" w:type="dxa"/>
              <w:right w:w="150" w:type="dxa"/>
            </w:tcMar>
            <w:hideMark/>
          </w:tcPr>
          <w:p w14:paraId="5E0F3E14" w14:textId="77777777" w:rsidR="001B1CBE" w:rsidRPr="00843FA9" w:rsidRDefault="001B1CBE" w:rsidP="00213810">
            <w:pPr>
              <w:spacing w:after="450"/>
              <w:jc w:val="right"/>
              <w:rPr>
                <w:rFonts w:eastAsia="Times New Roman"/>
                <w:color w:val="0B0C0C"/>
              </w:rPr>
            </w:pPr>
            <w:r w:rsidRPr="00843FA9">
              <w:rPr>
                <w:rFonts w:eastAsia="Times New Roman"/>
                <w:color w:val="0B0C0C"/>
              </w:rPr>
              <w:t>44.0%</w:t>
            </w:r>
          </w:p>
        </w:tc>
        <w:tc>
          <w:tcPr>
            <w:tcW w:w="0" w:type="auto"/>
            <w:tcBorders>
              <w:bottom w:val="single" w:sz="6" w:space="0" w:color="B1B4B6"/>
            </w:tcBorders>
            <w:tcMar>
              <w:top w:w="150" w:type="dxa"/>
              <w:left w:w="150" w:type="dxa"/>
              <w:bottom w:w="150" w:type="dxa"/>
              <w:right w:w="150" w:type="dxa"/>
            </w:tcMar>
            <w:hideMark/>
          </w:tcPr>
          <w:p w14:paraId="09CD6C98" w14:textId="77777777" w:rsidR="001B1CBE" w:rsidRPr="00843FA9" w:rsidRDefault="001B1CBE" w:rsidP="00213810">
            <w:pPr>
              <w:spacing w:after="450"/>
              <w:jc w:val="right"/>
              <w:rPr>
                <w:rFonts w:eastAsia="Times New Roman"/>
                <w:color w:val="0B0C0C"/>
              </w:rPr>
            </w:pPr>
            <w:r w:rsidRPr="00843FA9">
              <w:rPr>
                <w:rFonts w:eastAsia="Times New Roman"/>
                <w:color w:val="0B0C0C"/>
              </w:rPr>
              <w:t>42.9%</w:t>
            </w:r>
          </w:p>
        </w:tc>
        <w:tc>
          <w:tcPr>
            <w:tcW w:w="0" w:type="auto"/>
            <w:tcBorders>
              <w:bottom w:val="single" w:sz="6" w:space="0" w:color="B1B4B6"/>
            </w:tcBorders>
            <w:tcMar>
              <w:top w:w="150" w:type="dxa"/>
              <w:left w:w="150" w:type="dxa"/>
              <w:bottom w:w="150" w:type="dxa"/>
              <w:right w:w="150" w:type="dxa"/>
            </w:tcMar>
            <w:hideMark/>
          </w:tcPr>
          <w:p w14:paraId="28CBC934" w14:textId="77777777" w:rsidR="001B1CBE" w:rsidRPr="00843FA9" w:rsidRDefault="001B1CBE" w:rsidP="00213810">
            <w:pPr>
              <w:spacing w:after="450"/>
              <w:jc w:val="right"/>
              <w:rPr>
                <w:rFonts w:eastAsia="Times New Roman"/>
                <w:color w:val="0B0C0C"/>
              </w:rPr>
            </w:pPr>
            <w:r w:rsidRPr="00843FA9">
              <w:rPr>
                <w:rFonts w:eastAsia="Times New Roman"/>
                <w:color w:val="0B0C0C"/>
              </w:rPr>
              <w:t>42.9%</w:t>
            </w:r>
          </w:p>
        </w:tc>
      </w:tr>
      <w:tr w:rsidR="001B1CBE" w:rsidRPr="00843FA9" w14:paraId="127649AD" w14:textId="77777777" w:rsidTr="00213810">
        <w:trPr>
          <w:tblCellSpacing w:w="15" w:type="dxa"/>
        </w:trPr>
        <w:tc>
          <w:tcPr>
            <w:tcW w:w="0" w:type="auto"/>
            <w:vMerge/>
            <w:tcBorders>
              <w:bottom w:val="single" w:sz="6" w:space="0" w:color="B1B4B6"/>
            </w:tcBorders>
            <w:vAlign w:val="center"/>
            <w:hideMark/>
          </w:tcPr>
          <w:p w14:paraId="7266939F"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43A3F28" w14:textId="77777777" w:rsidR="001B1CBE" w:rsidRPr="00843FA9" w:rsidRDefault="001B1CBE" w:rsidP="00213810">
            <w:pPr>
              <w:spacing w:after="450"/>
              <w:rPr>
                <w:rFonts w:eastAsia="Times New Roman"/>
                <w:color w:val="0B0C0C"/>
              </w:rPr>
            </w:pPr>
            <w:r w:rsidRPr="00843FA9">
              <w:rPr>
                <w:rFonts w:eastAsia="Times New Roman"/>
                <w:color w:val="0B0C0C"/>
              </w:rPr>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2995E03D" w14:textId="77777777" w:rsidR="001B1CBE" w:rsidRPr="00843FA9" w:rsidRDefault="001B1CBE" w:rsidP="00213810">
            <w:pPr>
              <w:spacing w:after="450"/>
              <w:jc w:val="right"/>
              <w:rPr>
                <w:rFonts w:eastAsia="Times New Roman"/>
                <w:color w:val="0B0C0C"/>
              </w:rPr>
            </w:pPr>
            <w:r w:rsidRPr="00843FA9">
              <w:rPr>
                <w:rFonts w:eastAsia="Times New Roman"/>
                <w:color w:val="0B0C0C"/>
              </w:rPr>
              <w:t>49.9%</w:t>
            </w:r>
          </w:p>
        </w:tc>
        <w:tc>
          <w:tcPr>
            <w:tcW w:w="0" w:type="auto"/>
            <w:tcBorders>
              <w:bottom w:val="single" w:sz="6" w:space="0" w:color="B1B4B6"/>
            </w:tcBorders>
            <w:tcMar>
              <w:top w:w="150" w:type="dxa"/>
              <w:left w:w="150" w:type="dxa"/>
              <w:bottom w:w="150" w:type="dxa"/>
              <w:right w:w="150" w:type="dxa"/>
            </w:tcMar>
            <w:hideMark/>
          </w:tcPr>
          <w:p w14:paraId="75C83D8D" w14:textId="77777777" w:rsidR="001B1CBE" w:rsidRPr="00843FA9" w:rsidRDefault="001B1CBE" w:rsidP="00213810">
            <w:pPr>
              <w:spacing w:after="450"/>
              <w:jc w:val="right"/>
              <w:rPr>
                <w:rFonts w:eastAsia="Times New Roman"/>
                <w:color w:val="0B0C0C"/>
              </w:rPr>
            </w:pPr>
            <w:r w:rsidRPr="00843FA9">
              <w:rPr>
                <w:rFonts w:eastAsia="Times New Roman"/>
                <w:color w:val="0B0C0C"/>
              </w:rPr>
              <w:t>56.8%</w:t>
            </w:r>
          </w:p>
        </w:tc>
        <w:tc>
          <w:tcPr>
            <w:tcW w:w="0" w:type="auto"/>
            <w:tcBorders>
              <w:bottom w:val="single" w:sz="6" w:space="0" w:color="B1B4B6"/>
            </w:tcBorders>
            <w:tcMar>
              <w:top w:w="150" w:type="dxa"/>
              <w:left w:w="150" w:type="dxa"/>
              <w:bottom w:w="150" w:type="dxa"/>
              <w:right w:w="150" w:type="dxa"/>
            </w:tcMar>
            <w:hideMark/>
          </w:tcPr>
          <w:p w14:paraId="1DEE4FAC" w14:textId="77777777" w:rsidR="001B1CBE" w:rsidRPr="00843FA9" w:rsidRDefault="001B1CBE" w:rsidP="00213810">
            <w:pPr>
              <w:spacing w:after="450"/>
              <w:jc w:val="right"/>
              <w:rPr>
                <w:rFonts w:eastAsia="Times New Roman"/>
                <w:color w:val="0B0C0C"/>
              </w:rPr>
            </w:pPr>
            <w:r w:rsidRPr="00843FA9">
              <w:rPr>
                <w:rFonts w:eastAsia="Times New Roman"/>
                <w:color w:val="0B0C0C"/>
              </w:rPr>
              <w:t>59.2%</w:t>
            </w:r>
          </w:p>
        </w:tc>
        <w:tc>
          <w:tcPr>
            <w:tcW w:w="0" w:type="auto"/>
            <w:tcBorders>
              <w:bottom w:val="single" w:sz="6" w:space="0" w:color="B1B4B6"/>
            </w:tcBorders>
            <w:tcMar>
              <w:top w:w="150" w:type="dxa"/>
              <w:left w:w="150" w:type="dxa"/>
              <w:bottom w:w="150" w:type="dxa"/>
              <w:right w:w="150" w:type="dxa"/>
            </w:tcMar>
            <w:hideMark/>
          </w:tcPr>
          <w:p w14:paraId="5A73404A" w14:textId="77777777" w:rsidR="001B1CBE" w:rsidRPr="00843FA9" w:rsidRDefault="001B1CBE" w:rsidP="00213810">
            <w:pPr>
              <w:spacing w:after="450"/>
              <w:jc w:val="right"/>
              <w:rPr>
                <w:rFonts w:eastAsia="Times New Roman"/>
                <w:color w:val="0B0C0C"/>
              </w:rPr>
            </w:pPr>
            <w:r w:rsidRPr="00843FA9">
              <w:rPr>
                <w:rFonts w:eastAsia="Times New Roman"/>
                <w:color w:val="0B0C0C"/>
              </w:rPr>
              <w:t>56.8%</w:t>
            </w:r>
          </w:p>
        </w:tc>
      </w:tr>
      <w:tr w:rsidR="001B1CBE" w:rsidRPr="00843FA9" w14:paraId="7ADB832D" w14:textId="77777777" w:rsidTr="00213810">
        <w:trPr>
          <w:tblCellSpacing w:w="15" w:type="dxa"/>
        </w:trPr>
        <w:tc>
          <w:tcPr>
            <w:tcW w:w="0" w:type="auto"/>
            <w:vMerge/>
            <w:tcBorders>
              <w:bottom w:val="single" w:sz="6" w:space="0" w:color="B1B4B6"/>
            </w:tcBorders>
            <w:vAlign w:val="center"/>
            <w:hideMark/>
          </w:tcPr>
          <w:p w14:paraId="5EF52FD0"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7F3820B7" w14:textId="77777777" w:rsidR="001B1CBE" w:rsidRPr="00843FA9" w:rsidRDefault="001B1CBE" w:rsidP="00213810">
            <w:pPr>
              <w:spacing w:after="450"/>
              <w:rPr>
                <w:rFonts w:eastAsia="Times New Roman"/>
                <w:color w:val="0B0C0C"/>
              </w:rPr>
            </w:pPr>
            <w:r w:rsidRPr="00843FA9">
              <w:rPr>
                <w:rFonts w:eastAsia="Times New Roman"/>
                <w:color w:val="0B0C0C"/>
              </w:rPr>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274C0ABD" w14:textId="77777777" w:rsidR="001B1CBE" w:rsidRPr="00843FA9" w:rsidRDefault="001B1CBE" w:rsidP="00213810">
            <w:pPr>
              <w:spacing w:after="450"/>
              <w:jc w:val="right"/>
              <w:rPr>
                <w:rFonts w:eastAsia="Times New Roman"/>
                <w:color w:val="0B0C0C"/>
              </w:rPr>
            </w:pPr>
            <w:r w:rsidRPr="00843FA9">
              <w:rPr>
                <w:rFonts w:eastAsia="Times New Roman"/>
                <w:color w:val="0B0C0C"/>
              </w:rPr>
              <w:t>50.3</w:t>
            </w:r>
          </w:p>
        </w:tc>
        <w:tc>
          <w:tcPr>
            <w:tcW w:w="0" w:type="auto"/>
            <w:tcBorders>
              <w:bottom w:val="single" w:sz="6" w:space="0" w:color="B1B4B6"/>
            </w:tcBorders>
            <w:tcMar>
              <w:top w:w="150" w:type="dxa"/>
              <w:left w:w="150" w:type="dxa"/>
              <w:bottom w:w="150" w:type="dxa"/>
              <w:right w:w="150" w:type="dxa"/>
            </w:tcMar>
            <w:hideMark/>
          </w:tcPr>
          <w:p w14:paraId="2B44AAAF" w14:textId="77777777" w:rsidR="001B1CBE" w:rsidRPr="00843FA9" w:rsidRDefault="001B1CBE" w:rsidP="00213810">
            <w:pPr>
              <w:spacing w:after="450"/>
              <w:jc w:val="right"/>
              <w:rPr>
                <w:rFonts w:eastAsia="Times New Roman"/>
                <w:color w:val="0B0C0C"/>
              </w:rPr>
            </w:pPr>
            <w:r w:rsidRPr="00843FA9">
              <w:rPr>
                <w:rFonts w:eastAsia="Times New Roman"/>
                <w:color w:val="0B0C0C"/>
              </w:rPr>
              <w:t>53.7</w:t>
            </w:r>
          </w:p>
        </w:tc>
        <w:tc>
          <w:tcPr>
            <w:tcW w:w="0" w:type="auto"/>
            <w:tcBorders>
              <w:bottom w:val="single" w:sz="6" w:space="0" w:color="B1B4B6"/>
            </w:tcBorders>
            <w:tcMar>
              <w:top w:w="150" w:type="dxa"/>
              <w:left w:w="150" w:type="dxa"/>
              <w:bottom w:w="150" w:type="dxa"/>
              <w:right w:w="150" w:type="dxa"/>
            </w:tcMar>
            <w:hideMark/>
          </w:tcPr>
          <w:p w14:paraId="0454D3FE" w14:textId="77777777" w:rsidR="001B1CBE" w:rsidRPr="00843FA9" w:rsidRDefault="001B1CBE" w:rsidP="00213810">
            <w:pPr>
              <w:spacing w:after="450"/>
              <w:jc w:val="right"/>
              <w:rPr>
                <w:rFonts w:eastAsia="Times New Roman"/>
                <w:color w:val="0B0C0C"/>
              </w:rPr>
            </w:pPr>
            <w:r w:rsidRPr="00843FA9">
              <w:rPr>
                <w:rFonts w:eastAsia="Times New Roman"/>
                <w:color w:val="0B0C0C"/>
              </w:rPr>
              <w:t>54.7</w:t>
            </w:r>
          </w:p>
        </w:tc>
        <w:tc>
          <w:tcPr>
            <w:tcW w:w="0" w:type="auto"/>
            <w:tcBorders>
              <w:bottom w:val="single" w:sz="6" w:space="0" w:color="B1B4B6"/>
            </w:tcBorders>
            <w:tcMar>
              <w:top w:w="150" w:type="dxa"/>
              <w:left w:w="150" w:type="dxa"/>
              <w:bottom w:w="150" w:type="dxa"/>
              <w:right w:w="150" w:type="dxa"/>
            </w:tcMar>
            <w:hideMark/>
          </w:tcPr>
          <w:p w14:paraId="455577A3" w14:textId="77777777" w:rsidR="001B1CBE" w:rsidRPr="00843FA9" w:rsidRDefault="001B1CBE" w:rsidP="00213810">
            <w:pPr>
              <w:spacing w:after="450"/>
              <w:jc w:val="right"/>
              <w:rPr>
                <w:rFonts w:eastAsia="Times New Roman"/>
                <w:color w:val="0B0C0C"/>
              </w:rPr>
            </w:pPr>
            <w:r w:rsidRPr="00843FA9">
              <w:rPr>
                <w:rFonts w:eastAsia="Times New Roman"/>
                <w:color w:val="0B0C0C"/>
              </w:rPr>
              <w:t>52.6</w:t>
            </w:r>
          </w:p>
        </w:tc>
      </w:tr>
      <w:tr w:rsidR="001B1CBE" w:rsidRPr="00843FA9" w14:paraId="1E658F50" w14:textId="77777777" w:rsidTr="00213810">
        <w:trPr>
          <w:tblCellSpacing w:w="15" w:type="dxa"/>
        </w:trPr>
        <w:tc>
          <w:tcPr>
            <w:tcW w:w="0" w:type="auto"/>
            <w:vMerge/>
            <w:tcBorders>
              <w:bottom w:val="single" w:sz="6" w:space="0" w:color="B1B4B6"/>
            </w:tcBorders>
            <w:vAlign w:val="center"/>
            <w:hideMark/>
          </w:tcPr>
          <w:p w14:paraId="524442D1" w14:textId="77777777" w:rsidR="001B1CBE" w:rsidRPr="00843FA9"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1FC4344E" w14:textId="77777777" w:rsidR="001B1CBE" w:rsidRPr="00843FA9" w:rsidRDefault="001B1CBE" w:rsidP="00213810">
            <w:pPr>
              <w:spacing w:after="450"/>
              <w:rPr>
                <w:rFonts w:eastAsia="Times New Roman"/>
                <w:color w:val="0B0C0C"/>
              </w:rPr>
            </w:pPr>
            <w:r w:rsidRPr="00843FA9">
              <w:rPr>
                <w:rFonts w:eastAsia="Times New Roman"/>
                <w:color w:val="0B0C0C"/>
              </w:rPr>
              <w:t>Average EBacc APS score per pupil</w:t>
            </w:r>
          </w:p>
        </w:tc>
        <w:tc>
          <w:tcPr>
            <w:tcW w:w="0" w:type="auto"/>
            <w:tcBorders>
              <w:bottom w:val="single" w:sz="6" w:space="0" w:color="B1B4B6"/>
            </w:tcBorders>
            <w:tcMar>
              <w:top w:w="150" w:type="dxa"/>
              <w:left w:w="150" w:type="dxa"/>
              <w:bottom w:w="150" w:type="dxa"/>
              <w:right w:w="150" w:type="dxa"/>
            </w:tcMar>
            <w:hideMark/>
          </w:tcPr>
          <w:p w14:paraId="451748C9" w14:textId="77777777" w:rsidR="001B1CBE" w:rsidRPr="00843FA9" w:rsidRDefault="001B1CBE" w:rsidP="00213810">
            <w:pPr>
              <w:spacing w:after="450"/>
              <w:jc w:val="right"/>
              <w:rPr>
                <w:rFonts w:eastAsia="Times New Roman"/>
                <w:color w:val="0B0C0C"/>
              </w:rPr>
            </w:pPr>
            <w:r w:rsidRPr="00843FA9">
              <w:rPr>
                <w:rFonts w:eastAsia="Times New Roman"/>
                <w:color w:val="0B0C0C"/>
              </w:rPr>
              <w:t>4.43</w:t>
            </w:r>
          </w:p>
        </w:tc>
        <w:tc>
          <w:tcPr>
            <w:tcW w:w="0" w:type="auto"/>
            <w:tcBorders>
              <w:bottom w:val="single" w:sz="6" w:space="0" w:color="B1B4B6"/>
            </w:tcBorders>
            <w:tcMar>
              <w:top w:w="150" w:type="dxa"/>
              <w:left w:w="150" w:type="dxa"/>
              <w:bottom w:w="150" w:type="dxa"/>
              <w:right w:w="150" w:type="dxa"/>
            </w:tcMar>
            <w:hideMark/>
          </w:tcPr>
          <w:p w14:paraId="2950268E" w14:textId="77777777" w:rsidR="001B1CBE" w:rsidRPr="00843FA9" w:rsidRDefault="001B1CBE" w:rsidP="00213810">
            <w:pPr>
              <w:spacing w:after="450"/>
              <w:jc w:val="right"/>
              <w:rPr>
                <w:rFonts w:eastAsia="Times New Roman"/>
                <w:color w:val="0B0C0C"/>
              </w:rPr>
            </w:pPr>
            <w:r w:rsidRPr="00843FA9">
              <w:rPr>
                <w:rFonts w:eastAsia="Times New Roman"/>
                <w:color w:val="0B0C0C"/>
              </w:rPr>
              <w:t>4.73</w:t>
            </w:r>
          </w:p>
        </w:tc>
        <w:tc>
          <w:tcPr>
            <w:tcW w:w="0" w:type="auto"/>
            <w:tcBorders>
              <w:bottom w:val="single" w:sz="6" w:space="0" w:color="B1B4B6"/>
            </w:tcBorders>
            <w:tcMar>
              <w:top w:w="150" w:type="dxa"/>
              <w:left w:w="150" w:type="dxa"/>
              <w:bottom w:w="150" w:type="dxa"/>
              <w:right w:w="150" w:type="dxa"/>
            </w:tcMar>
            <w:hideMark/>
          </w:tcPr>
          <w:p w14:paraId="02E3DFC5" w14:textId="77777777" w:rsidR="001B1CBE" w:rsidRPr="00843FA9" w:rsidRDefault="001B1CBE" w:rsidP="00213810">
            <w:pPr>
              <w:spacing w:after="450"/>
              <w:jc w:val="right"/>
              <w:rPr>
                <w:rFonts w:eastAsia="Times New Roman"/>
                <w:color w:val="0B0C0C"/>
              </w:rPr>
            </w:pPr>
            <w:r w:rsidRPr="00843FA9">
              <w:rPr>
                <w:rFonts w:eastAsia="Times New Roman"/>
                <w:color w:val="0B0C0C"/>
              </w:rPr>
              <w:t>4.82</w:t>
            </w:r>
          </w:p>
        </w:tc>
        <w:tc>
          <w:tcPr>
            <w:tcW w:w="0" w:type="auto"/>
            <w:tcBorders>
              <w:bottom w:val="single" w:sz="6" w:space="0" w:color="B1B4B6"/>
            </w:tcBorders>
            <w:tcMar>
              <w:top w:w="150" w:type="dxa"/>
              <w:left w:w="150" w:type="dxa"/>
              <w:bottom w:w="150" w:type="dxa"/>
              <w:right w:w="150" w:type="dxa"/>
            </w:tcMar>
            <w:hideMark/>
          </w:tcPr>
          <w:p w14:paraId="7B0C354C" w14:textId="77777777" w:rsidR="001B1CBE" w:rsidRPr="00843FA9" w:rsidRDefault="001B1CBE" w:rsidP="00213810">
            <w:pPr>
              <w:spacing w:after="450"/>
              <w:jc w:val="right"/>
              <w:rPr>
                <w:rFonts w:eastAsia="Times New Roman"/>
                <w:color w:val="0B0C0C"/>
              </w:rPr>
            </w:pPr>
            <w:r w:rsidRPr="00843FA9">
              <w:rPr>
                <w:rFonts w:eastAsia="Times New Roman"/>
                <w:color w:val="0B0C0C"/>
              </w:rPr>
              <w:t>4.65</w:t>
            </w:r>
          </w:p>
        </w:tc>
      </w:tr>
    </w:tbl>
    <w:p w14:paraId="3937AD6E" w14:textId="77777777" w:rsidR="001B1CBE" w:rsidRDefault="001B1CBE" w:rsidP="001B1CBE"/>
    <w:p w14:paraId="280525BC" w14:textId="77777777" w:rsidR="001B1CBE" w:rsidRDefault="001B1CBE" w:rsidP="001B1CBE"/>
    <w:p w14:paraId="68856FCA" w14:textId="77777777" w:rsidR="001B1CBE" w:rsidRPr="00154F7D" w:rsidRDefault="001B1CBE" w:rsidP="001B1CBE">
      <w:pPr>
        <w:spacing w:after="0"/>
        <w:rPr>
          <w:rFonts w:eastAsia="Times New Roman"/>
          <w:b/>
          <w:bCs/>
        </w:rPr>
      </w:pPr>
      <w:r w:rsidRPr="00154F7D">
        <w:rPr>
          <w:rFonts w:ascii="Times New Roman" w:eastAsia="Times New Roman" w:hAnsi="Times New Roman" w:cs="Times New Roman"/>
          <w:b/>
          <w:bCs/>
        </w:rPr>
        <w:t> </w:t>
      </w:r>
      <w:r w:rsidRPr="00154F7D">
        <w:rPr>
          <w:rFonts w:eastAsia="Times New Roman"/>
          <w:b/>
          <w:bCs/>
        </w:rPr>
        <w:t>Headline measures for boys and girls in state-funded schools in England, 2018/19 – 2021/22</w:t>
      </w:r>
    </w:p>
    <w:tbl>
      <w:tblPr>
        <w:tblW w:w="13218" w:type="dxa"/>
        <w:tblCellSpacing w:w="15" w:type="dxa"/>
        <w:tblCellMar>
          <w:top w:w="15" w:type="dxa"/>
          <w:left w:w="15" w:type="dxa"/>
          <w:bottom w:w="15" w:type="dxa"/>
          <w:right w:w="15" w:type="dxa"/>
        </w:tblCellMar>
        <w:tblLook w:val="04A0" w:firstRow="1" w:lastRow="0" w:firstColumn="1" w:lastColumn="0" w:noHBand="0" w:noVBand="1"/>
      </w:tblPr>
      <w:tblGrid>
        <w:gridCol w:w="1277"/>
        <w:gridCol w:w="5666"/>
        <w:gridCol w:w="1565"/>
        <w:gridCol w:w="1565"/>
        <w:gridCol w:w="1565"/>
        <w:gridCol w:w="1580"/>
      </w:tblGrid>
      <w:tr w:rsidR="001B1CBE" w:rsidRPr="00154F7D" w14:paraId="7CE58B86" w14:textId="77777777" w:rsidTr="00213810">
        <w:trPr>
          <w:tblHeader/>
          <w:tblCellSpacing w:w="15" w:type="dxa"/>
        </w:trPr>
        <w:tc>
          <w:tcPr>
            <w:tcW w:w="0" w:type="auto"/>
            <w:gridSpan w:val="2"/>
            <w:tcBorders>
              <w:bottom w:val="single" w:sz="6" w:space="0" w:color="B1B4B6"/>
            </w:tcBorders>
            <w:shd w:val="clear" w:color="auto" w:fill="FFFFFF"/>
            <w:tcMar>
              <w:top w:w="150" w:type="dxa"/>
              <w:left w:w="0" w:type="dxa"/>
              <w:bottom w:w="150" w:type="dxa"/>
              <w:right w:w="300" w:type="dxa"/>
            </w:tcMar>
            <w:hideMark/>
          </w:tcPr>
          <w:p w14:paraId="621E980F" w14:textId="77777777" w:rsidR="001B1CBE" w:rsidRPr="00154F7D" w:rsidRDefault="001B1CBE" w:rsidP="00213810">
            <w:pPr>
              <w:spacing w:after="0"/>
              <w:rPr>
                <w:rFonts w:eastAsia="Times New Roman"/>
              </w:rPr>
            </w:pP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4ABC6512" w14:textId="77777777" w:rsidR="001B1CBE" w:rsidRPr="00154F7D" w:rsidRDefault="001B1CBE" w:rsidP="00213810">
            <w:pPr>
              <w:spacing w:after="450"/>
              <w:jc w:val="right"/>
              <w:rPr>
                <w:rFonts w:eastAsia="Times New Roman"/>
                <w:color w:val="0B0C0C"/>
              </w:rPr>
            </w:pPr>
            <w:r w:rsidRPr="00154F7D">
              <w:rPr>
                <w:rFonts w:eastAsia="Times New Roman"/>
                <w:color w:val="0B0C0C"/>
              </w:rPr>
              <w:t>2018/19</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387E336A" w14:textId="77777777" w:rsidR="001B1CBE" w:rsidRPr="00154F7D" w:rsidRDefault="001B1CBE" w:rsidP="00213810">
            <w:pPr>
              <w:spacing w:after="450"/>
              <w:jc w:val="right"/>
              <w:rPr>
                <w:rFonts w:eastAsia="Times New Roman"/>
                <w:color w:val="0B0C0C"/>
              </w:rPr>
            </w:pPr>
            <w:r w:rsidRPr="00154F7D">
              <w:rPr>
                <w:rFonts w:eastAsia="Times New Roman"/>
                <w:color w:val="0B0C0C"/>
              </w:rPr>
              <w:t>2019/20</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5C87351C" w14:textId="77777777" w:rsidR="001B1CBE" w:rsidRPr="00154F7D" w:rsidRDefault="001B1CBE" w:rsidP="00213810">
            <w:pPr>
              <w:spacing w:after="450"/>
              <w:jc w:val="right"/>
              <w:rPr>
                <w:rFonts w:eastAsia="Times New Roman"/>
                <w:color w:val="0B0C0C"/>
              </w:rPr>
            </w:pPr>
            <w:r w:rsidRPr="00154F7D">
              <w:rPr>
                <w:rFonts w:eastAsia="Times New Roman"/>
                <w:color w:val="0B0C0C"/>
              </w:rPr>
              <w:t>2020/21</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4A0D5793" w14:textId="77777777" w:rsidR="001B1CBE" w:rsidRPr="00154F7D" w:rsidRDefault="001B1CBE" w:rsidP="00213810">
            <w:pPr>
              <w:spacing w:after="450"/>
              <w:jc w:val="right"/>
              <w:rPr>
                <w:rFonts w:eastAsia="Times New Roman"/>
                <w:color w:val="0B0C0C"/>
              </w:rPr>
            </w:pPr>
            <w:r w:rsidRPr="00154F7D">
              <w:rPr>
                <w:rFonts w:eastAsia="Times New Roman"/>
                <w:color w:val="0B0C0C"/>
              </w:rPr>
              <w:t>2021/22</w:t>
            </w:r>
          </w:p>
        </w:tc>
      </w:tr>
      <w:tr w:rsidR="001B1CBE" w:rsidRPr="00154F7D" w14:paraId="46AB3C82"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0D268DD1" w14:textId="77777777" w:rsidR="001B1CBE" w:rsidRPr="00154F7D" w:rsidRDefault="001B1CBE" w:rsidP="00213810">
            <w:pPr>
              <w:spacing w:after="450"/>
              <w:rPr>
                <w:rFonts w:eastAsia="Times New Roman"/>
                <w:b/>
                <w:bCs/>
                <w:color w:val="0B0C0C"/>
              </w:rPr>
            </w:pPr>
            <w:r w:rsidRPr="00154F7D">
              <w:rPr>
                <w:rFonts w:eastAsia="Times New Roman"/>
                <w:b/>
                <w:bCs/>
                <w:color w:val="0B0C0C"/>
              </w:rPr>
              <w:t>Boys</w:t>
            </w:r>
          </w:p>
        </w:tc>
        <w:tc>
          <w:tcPr>
            <w:tcW w:w="0" w:type="auto"/>
            <w:tcBorders>
              <w:bottom w:val="single" w:sz="6" w:space="0" w:color="B1B4B6"/>
            </w:tcBorders>
            <w:shd w:val="clear" w:color="auto" w:fill="FFFFFF"/>
            <w:tcMar>
              <w:top w:w="150" w:type="dxa"/>
              <w:left w:w="0" w:type="dxa"/>
              <w:bottom w:w="150" w:type="dxa"/>
              <w:right w:w="300" w:type="dxa"/>
            </w:tcMar>
            <w:hideMark/>
          </w:tcPr>
          <w:p w14:paraId="1B1B4167" w14:textId="77777777" w:rsidR="001B1CBE" w:rsidRPr="00154F7D" w:rsidRDefault="001B1CBE" w:rsidP="00213810">
            <w:pPr>
              <w:spacing w:after="450"/>
              <w:rPr>
                <w:rFonts w:eastAsia="Times New Roman"/>
                <w:color w:val="0B0C0C"/>
              </w:rPr>
            </w:pPr>
            <w:r w:rsidRPr="00154F7D">
              <w:rPr>
                <w:rFonts w:eastAsia="Times New Roman"/>
                <w:color w:val="0B0C0C"/>
              </w:rPr>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7FA8C1EA" w14:textId="77777777" w:rsidR="001B1CBE" w:rsidRPr="00154F7D" w:rsidRDefault="001B1CBE" w:rsidP="00213810">
            <w:pPr>
              <w:spacing w:after="450"/>
              <w:jc w:val="right"/>
              <w:rPr>
                <w:rFonts w:eastAsia="Times New Roman"/>
                <w:color w:val="0B0C0C"/>
              </w:rPr>
            </w:pPr>
            <w:r w:rsidRPr="00154F7D">
              <w:rPr>
                <w:rFonts w:eastAsia="Times New Roman"/>
                <w:color w:val="0B0C0C"/>
              </w:rPr>
              <w:t>276,670</w:t>
            </w:r>
          </w:p>
        </w:tc>
        <w:tc>
          <w:tcPr>
            <w:tcW w:w="0" w:type="auto"/>
            <w:tcBorders>
              <w:bottom w:val="single" w:sz="6" w:space="0" w:color="B1B4B6"/>
            </w:tcBorders>
            <w:tcMar>
              <w:top w:w="150" w:type="dxa"/>
              <w:left w:w="150" w:type="dxa"/>
              <w:bottom w:w="150" w:type="dxa"/>
              <w:right w:w="150" w:type="dxa"/>
            </w:tcMar>
            <w:hideMark/>
          </w:tcPr>
          <w:p w14:paraId="08242260" w14:textId="77777777" w:rsidR="001B1CBE" w:rsidRPr="00154F7D" w:rsidRDefault="001B1CBE" w:rsidP="00213810">
            <w:pPr>
              <w:spacing w:after="450"/>
              <w:jc w:val="right"/>
              <w:rPr>
                <w:rFonts w:eastAsia="Times New Roman"/>
                <w:color w:val="0B0C0C"/>
              </w:rPr>
            </w:pPr>
            <w:r w:rsidRPr="00154F7D">
              <w:rPr>
                <w:rFonts w:eastAsia="Times New Roman"/>
                <w:color w:val="0B0C0C"/>
              </w:rPr>
              <w:t>286,588</w:t>
            </w:r>
          </w:p>
        </w:tc>
        <w:tc>
          <w:tcPr>
            <w:tcW w:w="0" w:type="auto"/>
            <w:tcBorders>
              <w:bottom w:val="single" w:sz="6" w:space="0" w:color="B1B4B6"/>
            </w:tcBorders>
            <w:tcMar>
              <w:top w:w="150" w:type="dxa"/>
              <w:left w:w="150" w:type="dxa"/>
              <w:bottom w:w="150" w:type="dxa"/>
              <w:right w:w="150" w:type="dxa"/>
            </w:tcMar>
            <w:hideMark/>
          </w:tcPr>
          <w:p w14:paraId="6D4773CC" w14:textId="77777777" w:rsidR="001B1CBE" w:rsidRPr="00154F7D" w:rsidRDefault="001B1CBE" w:rsidP="00213810">
            <w:pPr>
              <w:spacing w:after="450"/>
              <w:jc w:val="right"/>
              <w:rPr>
                <w:rFonts w:eastAsia="Times New Roman"/>
                <w:color w:val="0B0C0C"/>
              </w:rPr>
            </w:pPr>
            <w:r w:rsidRPr="00154F7D">
              <w:rPr>
                <w:rFonts w:eastAsia="Times New Roman"/>
                <w:color w:val="0B0C0C"/>
              </w:rPr>
              <w:t>293,649</w:t>
            </w:r>
          </w:p>
        </w:tc>
        <w:tc>
          <w:tcPr>
            <w:tcW w:w="0" w:type="auto"/>
            <w:tcBorders>
              <w:bottom w:val="single" w:sz="6" w:space="0" w:color="B1B4B6"/>
            </w:tcBorders>
            <w:tcMar>
              <w:top w:w="150" w:type="dxa"/>
              <w:left w:w="150" w:type="dxa"/>
              <w:bottom w:w="150" w:type="dxa"/>
              <w:right w:w="150" w:type="dxa"/>
            </w:tcMar>
            <w:hideMark/>
          </w:tcPr>
          <w:p w14:paraId="6932386A" w14:textId="77777777" w:rsidR="001B1CBE" w:rsidRPr="00154F7D" w:rsidRDefault="001B1CBE" w:rsidP="00213810">
            <w:pPr>
              <w:spacing w:after="450"/>
              <w:jc w:val="right"/>
              <w:rPr>
                <w:rFonts w:eastAsia="Times New Roman"/>
                <w:color w:val="0B0C0C"/>
              </w:rPr>
            </w:pPr>
            <w:r w:rsidRPr="00154F7D">
              <w:rPr>
                <w:rFonts w:eastAsia="Times New Roman"/>
                <w:color w:val="0B0C0C"/>
              </w:rPr>
              <w:t>300,533</w:t>
            </w:r>
          </w:p>
        </w:tc>
      </w:tr>
      <w:tr w:rsidR="001B1CBE" w:rsidRPr="00154F7D" w14:paraId="07925E92" w14:textId="77777777" w:rsidTr="00213810">
        <w:trPr>
          <w:tblCellSpacing w:w="15" w:type="dxa"/>
        </w:trPr>
        <w:tc>
          <w:tcPr>
            <w:tcW w:w="0" w:type="auto"/>
            <w:vMerge/>
            <w:tcBorders>
              <w:bottom w:val="single" w:sz="6" w:space="0" w:color="B1B4B6"/>
            </w:tcBorders>
            <w:vAlign w:val="center"/>
            <w:hideMark/>
          </w:tcPr>
          <w:p w14:paraId="323D26B0"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F01F125" w14:textId="77777777" w:rsidR="001B1CBE" w:rsidRPr="00154F7D" w:rsidRDefault="001B1CBE" w:rsidP="00213810">
            <w:pPr>
              <w:spacing w:after="450"/>
              <w:rPr>
                <w:rFonts w:eastAsia="Times New Roman"/>
                <w:color w:val="0B0C0C"/>
              </w:rPr>
            </w:pPr>
            <w:r w:rsidRPr="00154F7D">
              <w:rPr>
                <w:rFonts w:eastAsia="Times New Roman"/>
                <w:color w:val="0B0C0C"/>
              </w:rPr>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388D1606" w14:textId="77777777" w:rsidR="001B1CBE" w:rsidRPr="00154F7D" w:rsidRDefault="001B1CBE" w:rsidP="00213810">
            <w:pPr>
              <w:spacing w:after="450"/>
              <w:jc w:val="right"/>
              <w:rPr>
                <w:rFonts w:eastAsia="Times New Roman"/>
                <w:color w:val="0B0C0C"/>
              </w:rPr>
            </w:pPr>
            <w:r w:rsidRPr="00154F7D">
              <w:rPr>
                <w:rFonts w:eastAsia="Times New Roman"/>
                <w:color w:val="0B0C0C"/>
              </w:rPr>
              <w:t>34.3%</w:t>
            </w:r>
          </w:p>
        </w:tc>
        <w:tc>
          <w:tcPr>
            <w:tcW w:w="0" w:type="auto"/>
            <w:tcBorders>
              <w:bottom w:val="single" w:sz="6" w:space="0" w:color="B1B4B6"/>
            </w:tcBorders>
            <w:tcMar>
              <w:top w:w="150" w:type="dxa"/>
              <w:left w:w="150" w:type="dxa"/>
              <w:bottom w:w="150" w:type="dxa"/>
              <w:right w:w="150" w:type="dxa"/>
            </w:tcMar>
            <w:hideMark/>
          </w:tcPr>
          <w:p w14:paraId="1792A824" w14:textId="77777777" w:rsidR="001B1CBE" w:rsidRPr="00154F7D" w:rsidRDefault="001B1CBE" w:rsidP="00213810">
            <w:pPr>
              <w:spacing w:after="450"/>
              <w:jc w:val="right"/>
              <w:rPr>
                <w:rFonts w:eastAsia="Times New Roman"/>
                <w:color w:val="0B0C0C"/>
              </w:rPr>
            </w:pPr>
            <w:r w:rsidRPr="00154F7D">
              <w:rPr>
                <w:rFonts w:eastAsia="Times New Roman"/>
                <w:color w:val="0B0C0C"/>
              </w:rPr>
              <w:t>34.1%</w:t>
            </w:r>
          </w:p>
        </w:tc>
        <w:tc>
          <w:tcPr>
            <w:tcW w:w="0" w:type="auto"/>
            <w:tcBorders>
              <w:bottom w:val="single" w:sz="6" w:space="0" w:color="B1B4B6"/>
            </w:tcBorders>
            <w:tcMar>
              <w:top w:w="150" w:type="dxa"/>
              <w:left w:w="150" w:type="dxa"/>
              <w:bottom w:w="150" w:type="dxa"/>
              <w:right w:w="150" w:type="dxa"/>
            </w:tcMar>
            <w:hideMark/>
          </w:tcPr>
          <w:p w14:paraId="70493D40" w14:textId="77777777" w:rsidR="001B1CBE" w:rsidRPr="00154F7D" w:rsidRDefault="001B1CBE" w:rsidP="00213810">
            <w:pPr>
              <w:spacing w:after="450"/>
              <w:jc w:val="right"/>
              <w:rPr>
                <w:rFonts w:eastAsia="Times New Roman"/>
                <w:color w:val="0B0C0C"/>
              </w:rPr>
            </w:pPr>
            <w:r w:rsidRPr="00154F7D">
              <w:rPr>
                <w:rFonts w:eastAsia="Times New Roman"/>
                <w:color w:val="0B0C0C"/>
              </w:rPr>
              <w:t>33.5%</w:t>
            </w:r>
          </w:p>
        </w:tc>
        <w:tc>
          <w:tcPr>
            <w:tcW w:w="0" w:type="auto"/>
            <w:tcBorders>
              <w:bottom w:val="single" w:sz="6" w:space="0" w:color="B1B4B6"/>
            </w:tcBorders>
            <w:tcMar>
              <w:top w:w="150" w:type="dxa"/>
              <w:left w:w="150" w:type="dxa"/>
              <w:bottom w:w="150" w:type="dxa"/>
              <w:right w:w="150" w:type="dxa"/>
            </w:tcMar>
            <w:hideMark/>
          </w:tcPr>
          <w:p w14:paraId="44BFA7BA" w14:textId="77777777" w:rsidR="001B1CBE" w:rsidRPr="00154F7D" w:rsidRDefault="001B1CBE" w:rsidP="00213810">
            <w:pPr>
              <w:spacing w:after="450"/>
              <w:jc w:val="right"/>
              <w:rPr>
                <w:rFonts w:eastAsia="Times New Roman"/>
                <w:color w:val="0B0C0C"/>
              </w:rPr>
            </w:pPr>
            <w:r w:rsidRPr="00154F7D">
              <w:rPr>
                <w:rFonts w:eastAsia="Times New Roman"/>
                <w:color w:val="0B0C0C"/>
              </w:rPr>
              <w:t>33.9%</w:t>
            </w:r>
          </w:p>
        </w:tc>
      </w:tr>
      <w:tr w:rsidR="001B1CBE" w:rsidRPr="00154F7D" w14:paraId="4CA82104" w14:textId="77777777" w:rsidTr="00213810">
        <w:trPr>
          <w:tblCellSpacing w:w="15" w:type="dxa"/>
        </w:trPr>
        <w:tc>
          <w:tcPr>
            <w:tcW w:w="0" w:type="auto"/>
            <w:vMerge/>
            <w:tcBorders>
              <w:bottom w:val="single" w:sz="6" w:space="0" w:color="B1B4B6"/>
            </w:tcBorders>
            <w:vAlign w:val="center"/>
            <w:hideMark/>
          </w:tcPr>
          <w:p w14:paraId="1542ABE8"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39C9A4D8" w14:textId="77777777" w:rsidR="001B1CBE" w:rsidRPr="00154F7D" w:rsidRDefault="001B1CBE" w:rsidP="00213810">
            <w:pPr>
              <w:spacing w:after="450"/>
              <w:rPr>
                <w:rFonts w:eastAsia="Times New Roman"/>
                <w:color w:val="0B0C0C"/>
              </w:rPr>
            </w:pPr>
            <w:r w:rsidRPr="00154F7D">
              <w:rPr>
                <w:rFonts w:eastAsia="Times New Roman"/>
                <w:color w:val="0B0C0C"/>
              </w:rPr>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07C5C9D7" w14:textId="77777777" w:rsidR="001B1CBE" w:rsidRPr="00154F7D" w:rsidRDefault="001B1CBE" w:rsidP="00213810">
            <w:pPr>
              <w:spacing w:after="450"/>
              <w:jc w:val="right"/>
              <w:rPr>
                <w:rFonts w:eastAsia="Times New Roman"/>
                <w:color w:val="0B0C0C"/>
              </w:rPr>
            </w:pPr>
            <w:r w:rsidRPr="00154F7D">
              <w:rPr>
                <w:rFonts w:eastAsia="Times New Roman"/>
                <w:color w:val="0B0C0C"/>
              </w:rPr>
              <w:t>40.0%</w:t>
            </w:r>
          </w:p>
        </w:tc>
        <w:tc>
          <w:tcPr>
            <w:tcW w:w="0" w:type="auto"/>
            <w:tcBorders>
              <w:bottom w:val="single" w:sz="6" w:space="0" w:color="B1B4B6"/>
            </w:tcBorders>
            <w:tcMar>
              <w:top w:w="150" w:type="dxa"/>
              <w:left w:w="150" w:type="dxa"/>
              <w:bottom w:w="150" w:type="dxa"/>
              <w:right w:w="150" w:type="dxa"/>
            </w:tcMar>
            <w:hideMark/>
          </w:tcPr>
          <w:p w14:paraId="49DCE8A3" w14:textId="77777777" w:rsidR="001B1CBE" w:rsidRPr="00154F7D" w:rsidRDefault="001B1CBE" w:rsidP="00213810">
            <w:pPr>
              <w:spacing w:after="450"/>
              <w:jc w:val="right"/>
              <w:rPr>
                <w:rFonts w:eastAsia="Times New Roman"/>
                <w:color w:val="0B0C0C"/>
              </w:rPr>
            </w:pPr>
            <w:r w:rsidRPr="00154F7D">
              <w:rPr>
                <w:rFonts w:eastAsia="Times New Roman"/>
                <w:color w:val="0B0C0C"/>
              </w:rPr>
              <w:t>45.9%</w:t>
            </w:r>
          </w:p>
        </w:tc>
        <w:tc>
          <w:tcPr>
            <w:tcW w:w="0" w:type="auto"/>
            <w:tcBorders>
              <w:bottom w:val="single" w:sz="6" w:space="0" w:color="B1B4B6"/>
            </w:tcBorders>
            <w:tcMar>
              <w:top w:w="150" w:type="dxa"/>
              <w:left w:w="150" w:type="dxa"/>
              <w:bottom w:w="150" w:type="dxa"/>
              <w:right w:w="150" w:type="dxa"/>
            </w:tcMar>
            <w:hideMark/>
          </w:tcPr>
          <w:p w14:paraId="3AD5A383" w14:textId="77777777" w:rsidR="001B1CBE" w:rsidRPr="00154F7D" w:rsidRDefault="001B1CBE" w:rsidP="00213810">
            <w:pPr>
              <w:spacing w:after="450"/>
              <w:jc w:val="right"/>
              <w:rPr>
                <w:rFonts w:eastAsia="Times New Roman"/>
                <w:color w:val="0B0C0C"/>
              </w:rPr>
            </w:pPr>
            <w:r w:rsidRPr="00154F7D">
              <w:rPr>
                <w:rFonts w:eastAsia="Times New Roman"/>
                <w:color w:val="0B0C0C"/>
              </w:rPr>
              <w:t>48.2%</w:t>
            </w:r>
          </w:p>
        </w:tc>
        <w:tc>
          <w:tcPr>
            <w:tcW w:w="0" w:type="auto"/>
            <w:tcBorders>
              <w:bottom w:val="single" w:sz="6" w:space="0" w:color="B1B4B6"/>
            </w:tcBorders>
            <w:tcMar>
              <w:top w:w="150" w:type="dxa"/>
              <w:left w:w="150" w:type="dxa"/>
              <w:bottom w:w="150" w:type="dxa"/>
              <w:right w:w="150" w:type="dxa"/>
            </w:tcMar>
            <w:hideMark/>
          </w:tcPr>
          <w:p w14:paraId="30EE9A74" w14:textId="77777777" w:rsidR="001B1CBE" w:rsidRPr="00154F7D" w:rsidRDefault="001B1CBE" w:rsidP="00213810">
            <w:pPr>
              <w:spacing w:after="450"/>
              <w:jc w:val="right"/>
              <w:rPr>
                <w:rFonts w:eastAsia="Times New Roman"/>
                <w:color w:val="0B0C0C"/>
              </w:rPr>
            </w:pPr>
            <w:r w:rsidRPr="00154F7D">
              <w:rPr>
                <w:rFonts w:eastAsia="Times New Roman"/>
                <w:color w:val="0B0C0C"/>
              </w:rPr>
              <w:t>46.8%</w:t>
            </w:r>
          </w:p>
        </w:tc>
      </w:tr>
      <w:tr w:rsidR="001B1CBE" w:rsidRPr="00154F7D" w14:paraId="00D48C4E" w14:textId="77777777" w:rsidTr="00213810">
        <w:trPr>
          <w:tblCellSpacing w:w="15" w:type="dxa"/>
        </w:trPr>
        <w:tc>
          <w:tcPr>
            <w:tcW w:w="0" w:type="auto"/>
            <w:vMerge/>
            <w:tcBorders>
              <w:bottom w:val="single" w:sz="6" w:space="0" w:color="B1B4B6"/>
            </w:tcBorders>
            <w:vAlign w:val="center"/>
            <w:hideMark/>
          </w:tcPr>
          <w:p w14:paraId="69077E3A"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5F8266DD" w14:textId="77777777" w:rsidR="001B1CBE" w:rsidRPr="00154F7D" w:rsidRDefault="001B1CBE" w:rsidP="00213810">
            <w:pPr>
              <w:spacing w:after="450"/>
              <w:rPr>
                <w:rFonts w:eastAsia="Times New Roman"/>
                <w:color w:val="0B0C0C"/>
              </w:rPr>
            </w:pPr>
            <w:r w:rsidRPr="00154F7D">
              <w:rPr>
                <w:rFonts w:eastAsia="Times New Roman"/>
                <w:color w:val="0B0C0C"/>
              </w:rPr>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28B1066D" w14:textId="77777777" w:rsidR="001B1CBE" w:rsidRPr="00154F7D" w:rsidRDefault="001B1CBE" w:rsidP="00213810">
            <w:pPr>
              <w:spacing w:after="450"/>
              <w:jc w:val="right"/>
              <w:rPr>
                <w:rFonts w:eastAsia="Times New Roman"/>
                <w:color w:val="0B0C0C"/>
              </w:rPr>
            </w:pPr>
            <w:r w:rsidRPr="00154F7D">
              <w:rPr>
                <w:rFonts w:eastAsia="Times New Roman"/>
                <w:color w:val="0B0C0C"/>
              </w:rPr>
              <w:t>44.0</w:t>
            </w:r>
          </w:p>
        </w:tc>
        <w:tc>
          <w:tcPr>
            <w:tcW w:w="0" w:type="auto"/>
            <w:tcBorders>
              <w:bottom w:val="single" w:sz="6" w:space="0" w:color="B1B4B6"/>
            </w:tcBorders>
            <w:tcMar>
              <w:top w:w="150" w:type="dxa"/>
              <w:left w:w="150" w:type="dxa"/>
              <w:bottom w:w="150" w:type="dxa"/>
              <w:right w:w="150" w:type="dxa"/>
            </w:tcMar>
            <w:hideMark/>
          </w:tcPr>
          <w:p w14:paraId="2A504AC8" w14:textId="77777777" w:rsidR="001B1CBE" w:rsidRPr="00154F7D" w:rsidRDefault="001B1CBE" w:rsidP="00213810">
            <w:pPr>
              <w:spacing w:after="450"/>
              <w:jc w:val="right"/>
              <w:rPr>
                <w:rFonts w:eastAsia="Times New Roman"/>
                <w:color w:val="0B0C0C"/>
              </w:rPr>
            </w:pPr>
            <w:r w:rsidRPr="00154F7D">
              <w:rPr>
                <w:rFonts w:eastAsia="Times New Roman"/>
                <w:color w:val="0B0C0C"/>
              </w:rPr>
              <w:t>47.4</w:t>
            </w:r>
          </w:p>
        </w:tc>
        <w:tc>
          <w:tcPr>
            <w:tcW w:w="0" w:type="auto"/>
            <w:tcBorders>
              <w:bottom w:val="single" w:sz="6" w:space="0" w:color="B1B4B6"/>
            </w:tcBorders>
            <w:tcMar>
              <w:top w:w="150" w:type="dxa"/>
              <w:left w:w="150" w:type="dxa"/>
              <w:bottom w:w="150" w:type="dxa"/>
              <w:right w:w="150" w:type="dxa"/>
            </w:tcMar>
            <w:hideMark/>
          </w:tcPr>
          <w:p w14:paraId="6551A38F" w14:textId="77777777" w:rsidR="001B1CBE" w:rsidRPr="00154F7D" w:rsidRDefault="001B1CBE" w:rsidP="00213810">
            <w:pPr>
              <w:spacing w:after="450"/>
              <w:jc w:val="right"/>
              <w:rPr>
                <w:rFonts w:eastAsia="Times New Roman"/>
                <w:color w:val="0B0C0C"/>
              </w:rPr>
            </w:pPr>
            <w:r w:rsidRPr="00154F7D">
              <w:rPr>
                <w:rFonts w:eastAsia="Times New Roman"/>
                <w:color w:val="0B0C0C"/>
              </w:rPr>
              <w:t>48.1</w:t>
            </w:r>
          </w:p>
        </w:tc>
        <w:tc>
          <w:tcPr>
            <w:tcW w:w="0" w:type="auto"/>
            <w:tcBorders>
              <w:bottom w:val="single" w:sz="6" w:space="0" w:color="B1B4B6"/>
            </w:tcBorders>
            <w:tcMar>
              <w:top w:w="150" w:type="dxa"/>
              <w:left w:w="150" w:type="dxa"/>
              <w:bottom w:w="150" w:type="dxa"/>
              <w:right w:w="150" w:type="dxa"/>
            </w:tcMar>
            <w:hideMark/>
          </w:tcPr>
          <w:p w14:paraId="07FC9B0A" w14:textId="77777777" w:rsidR="001B1CBE" w:rsidRPr="00154F7D" w:rsidRDefault="001B1CBE" w:rsidP="00213810">
            <w:pPr>
              <w:spacing w:after="450"/>
              <w:jc w:val="right"/>
              <w:rPr>
                <w:rFonts w:eastAsia="Times New Roman"/>
                <w:color w:val="0B0C0C"/>
              </w:rPr>
            </w:pPr>
            <w:r w:rsidRPr="00154F7D">
              <w:rPr>
                <w:rFonts w:eastAsia="Times New Roman"/>
                <w:color w:val="0B0C0C"/>
              </w:rPr>
              <w:t>46.2</w:t>
            </w:r>
          </w:p>
        </w:tc>
      </w:tr>
      <w:tr w:rsidR="001B1CBE" w:rsidRPr="00154F7D" w14:paraId="6D3BC170" w14:textId="77777777" w:rsidTr="00213810">
        <w:trPr>
          <w:tblCellSpacing w:w="15" w:type="dxa"/>
        </w:trPr>
        <w:tc>
          <w:tcPr>
            <w:tcW w:w="0" w:type="auto"/>
            <w:vMerge/>
            <w:tcBorders>
              <w:bottom w:val="single" w:sz="6" w:space="0" w:color="B1B4B6"/>
            </w:tcBorders>
            <w:vAlign w:val="center"/>
            <w:hideMark/>
          </w:tcPr>
          <w:p w14:paraId="75172C41"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1509A1FE" w14:textId="77777777" w:rsidR="001B1CBE" w:rsidRPr="00154F7D" w:rsidRDefault="001B1CBE" w:rsidP="00213810">
            <w:pPr>
              <w:spacing w:after="450"/>
              <w:rPr>
                <w:rFonts w:eastAsia="Times New Roman"/>
                <w:color w:val="0B0C0C"/>
              </w:rPr>
            </w:pPr>
            <w:r w:rsidRPr="00154F7D">
              <w:rPr>
                <w:rFonts w:eastAsia="Times New Roman"/>
                <w:color w:val="0B0C0C"/>
              </w:rPr>
              <w:t>Average EBacc APS score per pupil</w:t>
            </w:r>
          </w:p>
        </w:tc>
        <w:tc>
          <w:tcPr>
            <w:tcW w:w="0" w:type="auto"/>
            <w:tcBorders>
              <w:bottom w:val="single" w:sz="6" w:space="0" w:color="B1B4B6"/>
            </w:tcBorders>
            <w:tcMar>
              <w:top w:w="150" w:type="dxa"/>
              <w:left w:w="150" w:type="dxa"/>
              <w:bottom w:w="150" w:type="dxa"/>
              <w:right w:w="150" w:type="dxa"/>
            </w:tcMar>
            <w:hideMark/>
          </w:tcPr>
          <w:p w14:paraId="2D984D57" w14:textId="77777777" w:rsidR="001B1CBE" w:rsidRPr="00154F7D" w:rsidRDefault="001B1CBE" w:rsidP="00213810">
            <w:pPr>
              <w:spacing w:after="450"/>
              <w:jc w:val="right"/>
              <w:rPr>
                <w:rFonts w:eastAsia="Times New Roman"/>
                <w:color w:val="0B0C0C"/>
              </w:rPr>
            </w:pPr>
            <w:r w:rsidRPr="00154F7D">
              <w:rPr>
                <w:rFonts w:eastAsia="Times New Roman"/>
                <w:color w:val="0B0C0C"/>
              </w:rPr>
              <w:t>3.84</w:t>
            </w:r>
          </w:p>
        </w:tc>
        <w:tc>
          <w:tcPr>
            <w:tcW w:w="0" w:type="auto"/>
            <w:tcBorders>
              <w:bottom w:val="single" w:sz="6" w:space="0" w:color="B1B4B6"/>
            </w:tcBorders>
            <w:tcMar>
              <w:top w:w="150" w:type="dxa"/>
              <w:left w:w="150" w:type="dxa"/>
              <w:bottom w:w="150" w:type="dxa"/>
              <w:right w:w="150" w:type="dxa"/>
            </w:tcMar>
            <w:hideMark/>
          </w:tcPr>
          <w:p w14:paraId="46DBC1B2" w14:textId="77777777" w:rsidR="001B1CBE" w:rsidRPr="00154F7D" w:rsidRDefault="001B1CBE" w:rsidP="00213810">
            <w:pPr>
              <w:spacing w:after="450"/>
              <w:jc w:val="right"/>
              <w:rPr>
                <w:rFonts w:eastAsia="Times New Roman"/>
                <w:color w:val="0B0C0C"/>
              </w:rPr>
            </w:pPr>
            <w:r w:rsidRPr="00154F7D">
              <w:rPr>
                <w:rFonts w:eastAsia="Times New Roman"/>
                <w:color w:val="0B0C0C"/>
              </w:rPr>
              <w:t>4.13</w:t>
            </w:r>
          </w:p>
        </w:tc>
        <w:tc>
          <w:tcPr>
            <w:tcW w:w="0" w:type="auto"/>
            <w:tcBorders>
              <w:bottom w:val="single" w:sz="6" w:space="0" w:color="B1B4B6"/>
            </w:tcBorders>
            <w:tcMar>
              <w:top w:w="150" w:type="dxa"/>
              <w:left w:w="150" w:type="dxa"/>
              <w:bottom w:w="150" w:type="dxa"/>
              <w:right w:w="150" w:type="dxa"/>
            </w:tcMar>
            <w:hideMark/>
          </w:tcPr>
          <w:p w14:paraId="77A2A141" w14:textId="77777777" w:rsidR="001B1CBE" w:rsidRPr="00154F7D" w:rsidRDefault="001B1CBE" w:rsidP="00213810">
            <w:pPr>
              <w:spacing w:after="450"/>
              <w:jc w:val="right"/>
              <w:rPr>
                <w:rFonts w:eastAsia="Times New Roman"/>
                <w:color w:val="0B0C0C"/>
              </w:rPr>
            </w:pPr>
            <w:r w:rsidRPr="00154F7D">
              <w:rPr>
                <w:rFonts w:eastAsia="Times New Roman"/>
                <w:color w:val="0B0C0C"/>
              </w:rPr>
              <w:t>4.19</w:t>
            </w:r>
          </w:p>
        </w:tc>
        <w:tc>
          <w:tcPr>
            <w:tcW w:w="0" w:type="auto"/>
            <w:tcBorders>
              <w:bottom w:val="single" w:sz="6" w:space="0" w:color="B1B4B6"/>
            </w:tcBorders>
            <w:tcMar>
              <w:top w:w="150" w:type="dxa"/>
              <w:left w:w="150" w:type="dxa"/>
              <w:bottom w:w="150" w:type="dxa"/>
              <w:right w:w="150" w:type="dxa"/>
            </w:tcMar>
            <w:hideMark/>
          </w:tcPr>
          <w:p w14:paraId="3511216A" w14:textId="77777777" w:rsidR="001B1CBE" w:rsidRPr="00154F7D" w:rsidRDefault="001B1CBE" w:rsidP="00213810">
            <w:pPr>
              <w:spacing w:after="450"/>
              <w:jc w:val="right"/>
              <w:rPr>
                <w:rFonts w:eastAsia="Times New Roman"/>
                <w:color w:val="0B0C0C"/>
              </w:rPr>
            </w:pPr>
            <w:r w:rsidRPr="00154F7D">
              <w:rPr>
                <w:rFonts w:eastAsia="Times New Roman"/>
                <w:color w:val="0B0C0C"/>
              </w:rPr>
              <w:t>4.05</w:t>
            </w:r>
          </w:p>
        </w:tc>
      </w:tr>
      <w:tr w:rsidR="001B1CBE" w:rsidRPr="00154F7D" w14:paraId="5538BC1B"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2878CF0A" w14:textId="77777777" w:rsidR="001B1CBE" w:rsidRPr="00154F7D" w:rsidRDefault="001B1CBE" w:rsidP="00213810">
            <w:pPr>
              <w:spacing w:after="450"/>
              <w:rPr>
                <w:rFonts w:eastAsia="Times New Roman"/>
                <w:b/>
                <w:bCs/>
                <w:color w:val="0B0C0C"/>
              </w:rPr>
            </w:pPr>
            <w:r w:rsidRPr="00154F7D">
              <w:rPr>
                <w:rFonts w:eastAsia="Times New Roman"/>
                <w:b/>
                <w:bCs/>
                <w:color w:val="0B0C0C"/>
              </w:rPr>
              <w:t>Girls</w:t>
            </w:r>
          </w:p>
        </w:tc>
        <w:tc>
          <w:tcPr>
            <w:tcW w:w="0" w:type="auto"/>
            <w:tcBorders>
              <w:bottom w:val="single" w:sz="6" w:space="0" w:color="B1B4B6"/>
            </w:tcBorders>
            <w:shd w:val="clear" w:color="auto" w:fill="FFFFFF"/>
            <w:tcMar>
              <w:top w:w="150" w:type="dxa"/>
              <w:left w:w="0" w:type="dxa"/>
              <w:bottom w:w="150" w:type="dxa"/>
              <w:right w:w="300" w:type="dxa"/>
            </w:tcMar>
            <w:hideMark/>
          </w:tcPr>
          <w:p w14:paraId="3DAB7518" w14:textId="77777777" w:rsidR="001B1CBE" w:rsidRPr="00154F7D" w:rsidRDefault="001B1CBE" w:rsidP="00213810">
            <w:pPr>
              <w:spacing w:after="450"/>
              <w:rPr>
                <w:rFonts w:eastAsia="Times New Roman"/>
                <w:color w:val="0B0C0C"/>
              </w:rPr>
            </w:pPr>
            <w:r w:rsidRPr="00154F7D">
              <w:rPr>
                <w:rFonts w:eastAsia="Times New Roman"/>
                <w:color w:val="0B0C0C"/>
              </w:rPr>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75B7F7FA" w14:textId="77777777" w:rsidR="001B1CBE" w:rsidRPr="00154F7D" w:rsidRDefault="001B1CBE" w:rsidP="00213810">
            <w:pPr>
              <w:spacing w:after="450"/>
              <w:jc w:val="right"/>
              <w:rPr>
                <w:rFonts w:eastAsia="Times New Roman"/>
                <w:color w:val="0B0C0C"/>
              </w:rPr>
            </w:pPr>
            <w:r w:rsidRPr="00154F7D">
              <w:rPr>
                <w:rFonts w:eastAsia="Times New Roman"/>
                <w:color w:val="0B0C0C"/>
              </w:rPr>
              <w:t>265,951</w:t>
            </w:r>
          </w:p>
        </w:tc>
        <w:tc>
          <w:tcPr>
            <w:tcW w:w="0" w:type="auto"/>
            <w:tcBorders>
              <w:bottom w:val="single" w:sz="6" w:space="0" w:color="B1B4B6"/>
            </w:tcBorders>
            <w:tcMar>
              <w:top w:w="150" w:type="dxa"/>
              <w:left w:w="150" w:type="dxa"/>
              <w:bottom w:w="150" w:type="dxa"/>
              <w:right w:w="150" w:type="dxa"/>
            </w:tcMar>
            <w:hideMark/>
          </w:tcPr>
          <w:p w14:paraId="2DB11EFE" w14:textId="77777777" w:rsidR="001B1CBE" w:rsidRPr="00154F7D" w:rsidRDefault="001B1CBE" w:rsidP="00213810">
            <w:pPr>
              <w:spacing w:after="450"/>
              <w:jc w:val="right"/>
              <w:rPr>
                <w:rFonts w:eastAsia="Times New Roman"/>
                <w:color w:val="0B0C0C"/>
              </w:rPr>
            </w:pPr>
            <w:r w:rsidRPr="00154F7D">
              <w:rPr>
                <w:rFonts w:eastAsia="Times New Roman"/>
                <w:color w:val="0B0C0C"/>
              </w:rPr>
              <w:t>275,406</w:t>
            </w:r>
          </w:p>
        </w:tc>
        <w:tc>
          <w:tcPr>
            <w:tcW w:w="0" w:type="auto"/>
            <w:tcBorders>
              <w:bottom w:val="single" w:sz="6" w:space="0" w:color="B1B4B6"/>
            </w:tcBorders>
            <w:tcMar>
              <w:top w:w="150" w:type="dxa"/>
              <w:left w:w="150" w:type="dxa"/>
              <w:bottom w:w="150" w:type="dxa"/>
              <w:right w:w="150" w:type="dxa"/>
            </w:tcMar>
            <w:hideMark/>
          </w:tcPr>
          <w:p w14:paraId="7EFEC2C6" w14:textId="77777777" w:rsidR="001B1CBE" w:rsidRPr="00154F7D" w:rsidRDefault="001B1CBE" w:rsidP="00213810">
            <w:pPr>
              <w:spacing w:after="450"/>
              <w:jc w:val="right"/>
              <w:rPr>
                <w:rFonts w:eastAsia="Times New Roman"/>
                <w:color w:val="0B0C0C"/>
              </w:rPr>
            </w:pPr>
            <w:r w:rsidRPr="00154F7D">
              <w:rPr>
                <w:rFonts w:eastAsia="Times New Roman"/>
                <w:color w:val="0B0C0C"/>
              </w:rPr>
              <w:t>282,214</w:t>
            </w:r>
          </w:p>
        </w:tc>
        <w:tc>
          <w:tcPr>
            <w:tcW w:w="0" w:type="auto"/>
            <w:tcBorders>
              <w:bottom w:val="single" w:sz="6" w:space="0" w:color="B1B4B6"/>
            </w:tcBorders>
            <w:tcMar>
              <w:top w:w="150" w:type="dxa"/>
              <w:left w:w="150" w:type="dxa"/>
              <w:bottom w:w="150" w:type="dxa"/>
              <w:right w:w="150" w:type="dxa"/>
            </w:tcMar>
            <w:hideMark/>
          </w:tcPr>
          <w:p w14:paraId="0E83113B" w14:textId="77777777" w:rsidR="001B1CBE" w:rsidRPr="00154F7D" w:rsidRDefault="001B1CBE" w:rsidP="00213810">
            <w:pPr>
              <w:spacing w:after="450"/>
              <w:jc w:val="right"/>
              <w:rPr>
                <w:rFonts w:eastAsia="Times New Roman"/>
                <w:color w:val="0B0C0C"/>
              </w:rPr>
            </w:pPr>
            <w:r w:rsidRPr="00154F7D">
              <w:rPr>
                <w:rFonts w:eastAsia="Times New Roman"/>
                <w:color w:val="0B0C0C"/>
              </w:rPr>
              <w:t>287,148</w:t>
            </w:r>
          </w:p>
        </w:tc>
      </w:tr>
      <w:tr w:rsidR="001B1CBE" w:rsidRPr="00154F7D" w14:paraId="408DF0D4" w14:textId="77777777" w:rsidTr="00213810">
        <w:trPr>
          <w:tblCellSpacing w:w="15" w:type="dxa"/>
        </w:trPr>
        <w:tc>
          <w:tcPr>
            <w:tcW w:w="0" w:type="auto"/>
            <w:vMerge/>
            <w:tcBorders>
              <w:bottom w:val="single" w:sz="6" w:space="0" w:color="B1B4B6"/>
            </w:tcBorders>
            <w:vAlign w:val="center"/>
            <w:hideMark/>
          </w:tcPr>
          <w:p w14:paraId="7C953012"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026221B2" w14:textId="77777777" w:rsidR="001B1CBE" w:rsidRPr="00154F7D" w:rsidRDefault="001B1CBE" w:rsidP="00213810">
            <w:pPr>
              <w:spacing w:after="450"/>
              <w:rPr>
                <w:rFonts w:eastAsia="Times New Roman"/>
                <w:color w:val="0B0C0C"/>
              </w:rPr>
            </w:pPr>
            <w:r w:rsidRPr="00154F7D">
              <w:rPr>
                <w:rFonts w:eastAsia="Times New Roman"/>
                <w:color w:val="0B0C0C"/>
              </w:rPr>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09B36696" w14:textId="77777777" w:rsidR="001B1CBE" w:rsidRPr="00154F7D" w:rsidRDefault="001B1CBE" w:rsidP="00213810">
            <w:pPr>
              <w:spacing w:after="450"/>
              <w:jc w:val="right"/>
              <w:rPr>
                <w:rFonts w:eastAsia="Times New Roman"/>
                <w:color w:val="0B0C0C"/>
              </w:rPr>
            </w:pPr>
            <w:r w:rsidRPr="00154F7D">
              <w:rPr>
                <w:rFonts w:eastAsia="Times New Roman"/>
                <w:color w:val="0B0C0C"/>
              </w:rPr>
              <w:t>45.9%</w:t>
            </w:r>
          </w:p>
        </w:tc>
        <w:tc>
          <w:tcPr>
            <w:tcW w:w="0" w:type="auto"/>
            <w:tcBorders>
              <w:bottom w:val="single" w:sz="6" w:space="0" w:color="B1B4B6"/>
            </w:tcBorders>
            <w:tcMar>
              <w:top w:w="150" w:type="dxa"/>
              <w:left w:w="150" w:type="dxa"/>
              <w:bottom w:w="150" w:type="dxa"/>
              <w:right w:w="150" w:type="dxa"/>
            </w:tcMar>
            <w:hideMark/>
          </w:tcPr>
          <w:p w14:paraId="42732F75" w14:textId="77777777" w:rsidR="001B1CBE" w:rsidRPr="00154F7D" w:rsidRDefault="001B1CBE" w:rsidP="00213810">
            <w:pPr>
              <w:spacing w:after="450"/>
              <w:jc w:val="right"/>
              <w:rPr>
                <w:rFonts w:eastAsia="Times New Roman"/>
                <w:color w:val="0B0C0C"/>
              </w:rPr>
            </w:pPr>
            <w:r w:rsidRPr="00154F7D">
              <w:rPr>
                <w:rFonts w:eastAsia="Times New Roman"/>
                <w:color w:val="0B0C0C"/>
              </w:rPr>
              <w:t>45.7%</w:t>
            </w:r>
          </w:p>
        </w:tc>
        <w:tc>
          <w:tcPr>
            <w:tcW w:w="0" w:type="auto"/>
            <w:tcBorders>
              <w:bottom w:val="single" w:sz="6" w:space="0" w:color="B1B4B6"/>
            </w:tcBorders>
            <w:tcMar>
              <w:top w:w="150" w:type="dxa"/>
              <w:left w:w="150" w:type="dxa"/>
              <w:bottom w:w="150" w:type="dxa"/>
              <w:right w:w="150" w:type="dxa"/>
            </w:tcMar>
            <w:hideMark/>
          </w:tcPr>
          <w:p w14:paraId="57F0775B" w14:textId="77777777" w:rsidR="001B1CBE" w:rsidRPr="00154F7D" w:rsidRDefault="001B1CBE" w:rsidP="00213810">
            <w:pPr>
              <w:spacing w:after="450"/>
              <w:jc w:val="right"/>
              <w:rPr>
                <w:rFonts w:eastAsia="Times New Roman"/>
                <w:color w:val="0B0C0C"/>
              </w:rPr>
            </w:pPr>
            <w:r w:rsidRPr="00154F7D">
              <w:rPr>
                <w:rFonts w:eastAsia="Times New Roman"/>
                <w:color w:val="0B0C0C"/>
              </w:rPr>
              <w:t>44.1%</w:t>
            </w:r>
          </w:p>
        </w:tc>
        <w:tc>
          <w:tcPr>
            <w:tcW w:w="0" w:type="auto"/>
            <w:tcBorders>
              <w:bottom w:val="single" w:sz="6" w:space="0" w:color="B1B4B6"/>
            </w:tcBorders>
            <w:tcMar>
              <w:top w:w="150" w:type="dxa"/>
              <w:left w:w="150" w:type="dxa"/>
              <w:bottom w:w="150" w:type="dxa"/>
              <w:right w:w="150" w:type="dxa"/>
            </w:tcMar>
            <w:hideMark/>
          </w:tcPr>
          <w:p w14:paraId="3F1FC323" w14:textId="77777777" w:rsidR="001B1CBE" w:rsidRPr="00154F7D" w:rsidRDefault="001B1CBE" w:rsidP="00213810">
            <w:pPr>
              <w:spacing w:after="450"/>
              <w:jc w:val="right"/>
              <w:rPr>
                <w:rFonts w:eastAsia="Times New Roman"/>
                <w:color w:val="0B0C0C"/>
              </w:rPr>
            </w:pPr>
            <w:r w:rsidRPr="00154F7D">
              <w:rPr>
                <w:rFonts w:eastAsia="Times New Roman"/>
                <w:color w:val="0B0C0C"/>
              </w:rPr>
              <w:t>43.8%</w:t>
            </w:r>
          </w:p>
        </w:tc>
      </w:tr>
      <w:tr w:rsidR="001B1CBE" w:rsidRPr="00154F7D" w14:paraId="738C21BF" w14:textId="77777777" w:rsidTr="00213810">
        <w:trPr>
          <w:tblCellSpacing w:w="15" w:type="dxa"/>
        </w:trPr>
        <w:tc>
          <w:tcPr>
            <w:tcW w:w="0" w:type="auto"/>
            <w:vMerge/>
            <w:tcBorders>
              <w:bottom w:val="single" w:sz="6" w:space="0" w:color="B1B4B6"/>
            </w:tcBorders>
            <w:vAlign w:val="center"/>
            <w:hideMark/>
          </w:tcPr>
          <w:p w14:paraId="205CCA10"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22C08182" w14:textId="77777777" w:rsidR="001B1CBE" w:rsidRPr="00154F7D" w:rsidRDefault="001B1CBE" w:rsidP="00213810">
            <w:pPr>
              <w:spacing w:after="450"/>
              <w:rPr>
                <w:rFonts w:eastAsia="Times New Roman"/>
                <w:color w:val="0B0C0C"/>
              </w:rPr>
            </w:pPr>
            <w:r w:rsidRPr="00154F7D">
              <w:rPr>
                <w:rFonts w:eastAsia="Times New Roman"/>
                <w:color w:val="0B0C0C"/>
              </w:rPr>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4E352CD2" w14:textId="77777777" w:rsidR="001B1CBE" w:rsidRPr="00154F7D" w:rsidRDefault="001B1CBE" w:rsidP="00213810">
            <w:pPr>
              <w:spacing w:after="450"/>
              <w:jc w:val="right"/>
              <w:rPr>
                <w:rFonts w:eastAsia="Times New Roman"/>
                <w:color w:val="0B0C0C"/>
              </w:rPr>
            </w:pPr>
            <w:r w:rsidRPr="00154F7D">
              <w:rPr>
                <w:rFonts w:eastAsia="Times New Roman"/>
                <w:color w:val="0B0C0C"/>
              </w:rPr>
              <w:t>46.6%</w:t>
            </w:r>
          </w:p>
        </w:tc>
        <w:tc>
          <w:tcPr>
            <w:tcW w:w="0" w:type="auto"/>
            <w:tcBorders>
              <w:bottom w:val="single" w:sz="6" w:space="0" w:color="B1B4B6"/>
            </w:tcBorders>
            <w:tcMar>
              <w:top w:w="150" w:type="dxa"/>
              <w:left w:w="150" w:type="dxa"/>
              <w:bottom w:w="150" w:type="dxa"/>
              <w:right w:w="150" w:type="dxa"/>
            </w:tcMar>
            <w:hideMark/>
          </w:tcPr>
          <w:p w14:paraId="690550E6" w14:textId="77777777" w:rsidR="001B1CBE" w:rsidRPr="00154F7D" w:rsidRDefault="001B1CBE" w:rsidP="00213810">
            <w:pPr>
              <w:spacing w:after="450"/>
              <w:jc w:val="right"/>
              <w:rPr>
                <w:rFonts w:eastAsia="Times New Roman"/>
                <w:color w:val="0B0C0C"/>
              </w:rPr>
            </w:pPr>
            <w:r w:rsidRPr="00154F7D">
              <w:rPr>
                <w:rFonts w:eastAsia="Times New Roman"/>
                <w:color w:val="0B0C0C"/>
              </w:rPr>
              <w:t>54.1%</w:t>
            </w:r>
          </w:p>
        </w:tc>
        <w:tc>
          <w:tcPr>
            <w:tcW w:w="0" w:type="auto"/>
            <w:tcBorders>
              <w:bottom w:val="single" w:sz="6" w:space="0" w:color="B1B4B6"/>
            </w:tcBorders>
            <w:tcMar>
              <w:top w:w="150" w:type="dxa"/>
              <w:left w:w="150" w:type="dxa"/>
              <w:bottom w:w="150" w:type="dxa"/>
              <w:right w:w="150" w:type="dxa"/>
            </w:tcMar>
            <w:hideMark/>
          </w:tcPr>
          <w:p w14:paraId="0BFD74E1" w14:textId="77777777" w:rsidR="001B1CBE" w:rsidRPr="00154F7D" w:rsidRDefault="001B1CBE" w:rsidP="00213810">
            <w:pPr>
              <w:spacing w:after="450"/>
              <w:jc w:val="right"/>
              <w:rPr>
                <w:rFonts w:eastAsia="Times New Roman"/>
                <w:color w:val="0B0C0C"/>
              </w:rPr>
            </w:pPr>
            <w:r w:rsidRPr="00154F7D">
              <w:rPr>
                <w:rFonts w:eastAsia="Times New Roman"/>
                <w:color w:val="0B0C0C"/>
              </w:rPr>
              <w:t>55.8%</w:t>
            </w:r>
          </w:p>
        </w:tc>
        <w:tc>
          <w:tcPr>
            <w:tcW w:w="0" w:type="auto"/>
            <w:tcBorders>
              <w:bottom w:val="single" w:sz="6" w:space="0" w:color="B1B4B6"/>
            </w:tcBorders>
            <w:tcMar>
              <w:top w:w="150" w:type="dxa"/>
              <w:left w:w="150" w:type="dxa"/>
              <w:bottom w:w="150" w:type="dxa"/>
              <w:right w:w="150" w:type="dxa"/>
            </w:tcMar>
            <w:hideMark/>
          </w:tcPr>
          <w:p w14:paraId="15798FBE" w14:textId="77777777" w:rsidR="001B1CBE" w:rsidRPr="00154F7D" w:rsidRDefault="001B1CBE" w:rsidP="00213810">
            <w:pPr>
              <w:spacing w:after="450"/>
              <w:jc w:val="right"/>
              <w:rPr>
                <w:rFonts w:eastAsia="Times New Roman"/>
                <w:color w:val="0B0C0C"/>
              </w:rPr>
            </w:pPr>
            <w:r w:rsidRPr="00154F7D">
              <w:rPr>
                <w:rFonts w:eastAsia="Times New Roman"/>
                <w:color w:val="0B0C0C"/>
              </w:rPr>
              <w:t>52.5%</w:t>
            </w:r>
          </w:p>
        </w:tc>
      </w:tr>
      <w:tr w:rsidR="001B1CBE" w:rsidRPr="00154F7D" w14:paraId="24962702" w14:textId="77777777" w:rsidTr="00213810">
        <w:trPr>
          <w:tblCellSpacing w:w="15" w:type="dxa"/>
        </w:trPr>
        <w:tc>
          <w:tcPr>
            <w:tcW w:w="0" w:type="auto"/>
            <w:vMerge/>
            <w:tcBorders>
              <w:bottom w:val="single" w:sz="6" w:space="0" w:color="B1B4B6"/>
            </w:tcBorders>
            <w:vAlign w:val="center"/>
            <w:hideMark/>
          </w:tcPr>
          <w:p w14:paraId="61F77F4A"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EDB3117" w14:textId="77777777" w:rsidR="001B1CBE" w:rsidRPr="00154F7D" w:rsidRDefault="001B1CBE" w:rsidP="00213810">
            <w:pPr>
              <w:spacing w:after="450"/>
              <w:rPr>
                <w:rFonts w:eastAsia="Times New Roman"/>
                <w:color w:val="0B0C0C"/>
              </w:rPr>
            </w:pPr>
            <w:r w:rsidRPr="00154F7D">
              <w:rPr>
                <w:rFonts w:eastAsia="Times New Roman"/>
                <w:color w:val="0B0C0C"/>
              </w:rPr>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69F73F2E" w14:textId="77777777" w:rsidR="001B1CBE" w:rsidRPr="00154F7D" w:rsidRDefault="001B1CBE" w:rsidP="00213810">
            <w:pPr>
              <w:spacing w:after="450"/>
              <w:jc w:val="right"/>
              <w:rPr>
                <w:rFonts w:eastAsia="Times New Roman"/>
                <w:color w:val="0B0C0C"/>
              </w:rPr>
            </w:pPr>
            <w:r w:rsidRPr="00154F7D">
              <w:rPr>
                <w:rFonts w:eastAsia="Times New Roman"/>
                <w:color w:val="0B0C0C"/>
              </w:rPr>
              <w:t>49.5</w:t>
            </w:r>
          </w:p>
        </w:tc>
        <w:tc>
          <w:tcPr>
            <w:tcW w:w="0" w:type="auto"/>
            <w:tcBorders>
              <w:bottom w:val="single" w:sz="6" w:space="0" w:color="B1B4B6"/>
            </w:tcBorders>
            <w:tcMar>
              <w:top w:w="150" w:type="dxa"/>
              <w:left w:w="150" w:type="dxa"/>
              <w:bottom w:w="150" w:type="dxa"/>
              <w:right w:w="150" w:type="dxa"/>
            </w:tcMar>
            <w:hideMark/>
          </w:tcPr>
          <w:p w14:paraId="4D3FC36B" w14:textId="77777777" w:rsidR="001B1CBE" w:rsidRPr="00154F7D" w:rsidRDefault="001B1CBE" w:rsidP="00213810">
            <w:pPr>
              <w:spacing w:after="450"/>
              <w:jc w:val="right"/>
              <w:rPr>
                <w:rFonts w:eastAsia="Times New Roman"/>
                <w:color w:val="0B0C0C"/>
              </w:rPr>
            </w:pPr>
            <w:r w:rsidRPr="00154F7D">
              <w:rPr>
                <w:rFonts w:eastAsia="Times New Roman"/>
                <w:color w:val="0B0C0C"/>
              </w:rPr>
              <w:t>53.1</w:t>
            </w:r>
          </w:p>
        </w:tc>
        <w:tc>
          <w:tcPr>
            <w:tcW w:w="0" w:type="auto"/>
            <w:tcBorders>
              <w:bottom w:val="single" w:sz="6" w:space="0" w:color="B1B4B6"/>
            </w:tcBorders>
            <w:tcMar>
              <w:top w:w="150" w:type="dxa"/>
              <w:left w:w="150" w:type="dxa"/>
              <w:bottom w:w="150" w:type="dxa"/>
              <w:right w:w="150" w:type="dxa"/>
            </w:tcMar>
            <w:hideMark/>
          </w:tcPr>
          <w:p w14:paraId="2238B571" w14:textId="77777777" w:rsidR="001B1CBE" w:rsidRPr="00154F7D" w:rsidRDefault="001B1CBE" w:rsidP="00213810">
            <w:pPr>
              <w:spacing w:after="450"/>
              <w:jc w:val="right"/>
              <w:rPr>
                <w:rFonts w:eastAsia="Times New Roman"/>
                <w:color w:val="0B0C0C"/>
              </w:rPr>
            </w:pPr>
            <w:r w:rsidRPr="00154F7D">
              <w:rPr>
                <w:rFonts w:eastAsia="Times New Roman"/>
                <w:color w:val="0B0C0C"/>
              </w:rPr>
              <w:t>53.9</w:t>
            </w:r>
          </w:p>
        </w:tc>
        <w:tc>
          <w:tcPr>
            <w:tcW w:w="0" w:type="auto"/>
            <w:tcBorders>
              <w:bottom w:val="single" w:sz="6" w:space="0" w:color="B1B4B6"/>
            </w:tcBorders>
            <w:tcMar>
              <w:top w:w="150" w:type="dxa"/>
              <w:left w:w="150" w:type="dxa"/>
              <w:bottom w:w="150" w:type="dxa"/>
              <w:right w:w="150" w:type="dxa"/>
            </w:tcMar>
            <w:hideMark/>
          </w:tcPr>
          <w:p w14:paraId="74957428" w14:textId="77777777" w:rsidR="001B1CBE" w:rsidRPr="00154F7D" w:rsidRDefault="001B1CBE" w:rsidP="00213810">
            <w:pPr>
              <w:spacing w:after="450"/>
              <w:jc w:val="right"/>
              <w:rPr>
                <w:rFonts w:eastAsia="Times New Roman"/>
                <w:color w:val="0B0C0C"/>
              </w:rPr>
            </w:pPr>
            <w:r w:rsidRPr="00154F7D">
              <w:rPr>
                <w:rFonts w:eastAsia="Times New Roman"/>
                <w:color w:val="0B0C0C"/>
              </w:rPr>
              <w:t>51.3</w:t>
            </w:r>
          </w:p>
        </w:tc>
      </w:tr>
      <w:tr w:rsidR="001B1CBE" w:rsidRPr="00154F7D" w14:paraId="5F768B98" w14:textId="77777777" w:rsidTr="00213810">
        <w:trPr>
          <w:tblCellSpacing w:w="15" w:type="dxa"/>
        </w:trPr>
        <w:tc>
          <w:tcPr>
            <w:tcW w:w="0" w:type="auto"/>
            <w:vMerge/>
            <w:tcBorders>
              <w:bottom w:val="single" w:sz="6" w:space="0" w:color="B1B4B6"/>
            </w:tcBorders>
            <w:vAlign w:val="center"/>
            <w:hideMark/>
          </w:tcPr>
          <w:p w14:paraId="2F633099" w14:textId="77777777" w:rsidR="001B1CBE" w:rsidRPr="00154F7D"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0B4C3241" w14:textId="77777777" w:rsidR="001B1CBE" w:rsidRPr="00154F7D" w:rsidRDefault="001B1CBE" w:rsidP="00213810">
            <w:pPr>
              <w:spacing w:after="450"/>
              <w:rPr>
                <w:rFonts w:eastAsia="Times New Roman"/>
                <w:color w:val="0B0C0C"/>
              </w:rPr>
            </w:pPr>
            <w:r w:rsidRPr="00154F7D">
              <w:rPr>
                <w:rFonts w:eastAsia="Times New Roman"/>
                <w:color w:val="0B0C0C"/>
              </w:rPr>
              <w:t>Average EBacc APS score per pupil</w:t>
            </w:r>
          </w:p>
        </w:tc>
        <w:tc>
          <w:tcPr>
            <w:tcW w:w="0" w:type="auto"/>
            <w:tcBorders>
              <w:bottom w:val="single" w:sz="6" w:space="0" w:color="B1B4B6"/>
            </w:tcBorders>
            <w:tcMar>
              <w:top w:w="150" w:type="dxa"/>
              <w:left w:w="150" w:type="dxa"/>
              <w:bottom w:w="150" w:type="dxa"/>
              <w:right w:w="150" w:type="dxa"/>
            </w:tcMar>
            <w:hideMark/>
          </w:tcPr>
          <w:p w14:paraId="0530A4D5" w14:textId="77777777" w:rsidR="001B1CBE" w:rsidRPr="00154F7D" w:rsidRDefault="001B1CBE" w:rsidP="00213810">
            <w:pPr>
              <w:spacing w:after="450"/>
              <w:jc w:val="right"/>
              <w:rPr>
                <w:rFonts w:eastAsia="Times New Roman"/>
                <w:color w:val="0B0C0C"/>
              </w:rPr>
            </w:pPr>
            <w:r w:rsidRPr="00154F7D">
              <w:rPr>
                <w:rFonts w:eastAsia="Times New Roman"/>
                <w:color w:val="0B0C0C"/>
              </w:rPr>
              <w:t>4.32</w:t>
            </w:r>
          </w:p>
        </w:tc>
        <w:tc>
          <w:tcPr>
            <w:tcW w:w="0" w:type="auto"/>
            <w:tcBorders>
              <w:bottom w:val="single" w:sz="6" w:space="0" w:color="B1B4B6"/>
            </w:tcBorders>
            <w:tcMar>
              <w:top w:w="150" w:type="dxa"/>
              <w:left w:w="150" w:type="dxa"/>
              <w:bottom w:w="150" w:type="dxa"/>
              <w:right w:w="150" w:type="dxa"/>
            </w:tcMar>
            <w:hideMark/>
          </w:tcPr>
          <w:p w14:paraId="36304237" w14:textId="77777777" w:rsidR="001B1CBE" w:rsidRPr="00154F7D" w:rsidRDefault="001B1CBE" w:rsidP="00213810">
            <w:pPr>
              <w:spacing w:after="450"/>
              <w:jc w:val="right"/>
              <w:rPr>
                <w:rFonts w:eastAsia="Times New Roman"/>
                <w:color w:val="0B0C0C"/>
              </w:rPr>
            </w:pPr>
            <w:r w:rsidRPr="00154F7D">
              <w:rPr>
                <w:rFonts w:eastAsia="Times New Roman"/>
                <w:color w:val="0B0C0C"/>
              </w:rPr>
              <w:t>4.65</w:t>
            </w:r>
          </w:p>
        </w:tc>
        <w:tc>
          <w:tcPr>
            <w:tcW w:w="0" w:type="auto"/>
            <w:tcBorders>
              <w:bottom w:val="single" w:sz="6" w:space="0" w:color="B1B4B6"/>
            </w:tcBorders>
            <w:tcMar>
              <w:top w:w="150" w:type="dxa"/>
              <w:left w:w="150" w:type="dxa"/>
              <w:bottom w:w="150" w:type="dxa"/>
              <w:right w:w="150" w:type="dxa"/>
            </w:tcMar>
            <w:hideMark/>
          </w:tcPr>
          <w:p w14:paraId="746912B7" w14:textId="77777777" w:rsidR="001B1CBE" w:rsidRPr="00154F7D" w:rsidRDefault="001B1CBE" w:rsidP="00213810">
            <w:pPr>
              <w:spacing w:after="450"/>
              <w:jc w:val="right"/>
              <w:rPr>
                <w:rFonts w:eastAsia="Times New Roman"/>
                <w:color w:val="0B0C0C"/>
              </w:rPr>
            </w:pPr>
            <w:r w:rsidRPr="00154F7D">
              <w:rPr>
                <w:rFonts w:eastAsia="Times New Roman"/>
                <w:color w:val="0B0C0C"/>
              </w:rPr>
              <w:t>4.71</w:t>
            </w:r>
          </w:p>
        </w:tc>
        <w:tc>
          <w:tcPr>
            <w:tcW w:w="0" w:type="auto"/>
            <w:tcBorders>
              <w:bottom w:val="single" w:sz="6" w:space="0" w:color="B1B4B6"/>
            </w:tcBorders>
            <w:tcMar>
              <w:top w:w="150" w:type="dxa"/>
              <w:left w:w="150" w:type="dxa"/>
              <w:bottom w:w="150" w:type="dxa"/>
              <w:right w:w="150" w:type="dxa"/>
            </w:tcMar>
            <w:hideMark/>
          </w:tcPr>
          <w:p w14:paraId="7DFFF568" w14:textId="77777777" w:rsidR="001B1CBE" w:rsidRPr="00154F7D" w:rsidRDefault="001B1CBE" w:rsidP="00213810">
            <w:pPr>
              <w:spacing w:after="450"/>
              <w:jc w:val="right"/>
              <w:rPr>
                <w:rFonts w:eastAsia="Times New Roman"/>
                <w:color w:val="0B0C0C"/>
              </w:rPr>
            </w:pPr>
            <w:r w:rsidRPr="00154F7D">
              <w:rPr>
                <w:rFonts w:eastAsia="Times New Roman"/>
                <w:color w:val="0B0C0C"/>
              </w:rPr>
              <w:t>4.49</w:t>
            </w:r>
          </w:p>
        </w:tc>
      </w:tr>
    </w:tbl>
    <w:p w14:paraId="61D626F3" w14:textId="77777777" w:rsidR="001B1CBE" w:rsidRDefault="001B1CBE" w:rsidP="001B1CBE"/>
    <w:p w14:paraId="6FA12538" w14:textId="77777777" w:rsidR="001B1CBE" w:rsidRDefault="001B1CBE" w:rsidP="001B1CBE"/>
    <w:p w14:paraId="141DD998" w14:textId="77777777" w:rsidR="001B1CBE" w:rsidRPr="00097E7A" w:rsidRDefault="001B1CBE" w:rsidP="001B1CBE">
      <w:pPr>
        <w:rPr>
          <w:b/>
          <w:bCs/>
        </w:rPr>
      </w:pPr>
      <w:r w:rsidRPr="00097E7A">
        <w:rPr>
          <w:b/>
          <w:bCs/>
        </w:rPr>
        <w:t> KS4 headline measures by prior attainment for pupils in state-funded schools in England between 2020/21 and 2021/22</w:t>
      </w:r>
    </w:p>
    <w:tbl>
      <w:tblPr>
        <w:tblW w:w="13218" w:type="dxa"/>
        <w:tblCellSpacing w:w="15" w:type="dxa"/>
        <w:tblCellMar>
          <w:top w:w="15" w:type="dxa"/>
          <w:left w:w="15" w:type="dxa"/>
          <w:bottom w:w="15" w:type="dxa"/>
          <w:right w:w="15" w:type="dxa"/>
        </w:tblCellMar>
        <w:tblLook w:val="04A0" w:firstRow="1" w:lastRow="0" w:firstColumn="1" w:lastColumn="0" w:noHBand="0" w:noVBand="1"/>
      </w:tblPr>
      <w:tblGrid>
        <w:gridCol w:w="1660"/>
        <w:gridCol w:w="8413"/>
        <w:gridCol w:w="1565"/>
        <w:gridCol w:w="1580"/>
      </w:tblGrid>
      <w:tr w:rsidR="001B1CBE" w:rsidRPr="00097E7A" w14:paraId="0E54B834" w14:textId="77777777" w:rsidTr="00213810">
        <w:trPr>
          <w:tblHeader/>
          <w:tblCellSpacing w:w="15" w:type="dxa"/>
        </w:trPr>
        <w:tc>
          <w:tcPr>
            <w:tcW w:w="0" w:type="auto"/>
            <w:gridSpan w:val="2"/>
            <w:tcBorders>
              <w:bottom w:val="single" w:sz="6" w:space="0" w:color="B1B4B6"/>
            </w:tcBorders>
            <w:shd w:val="clear" w:color="auto" w:fill="FFFFFF"/>
            <w:tcMar>
              <w:top w:w="150" w:type="dxa"/>
              <w:left w:w="0" w:type="dxa"/>
              <w:bottom w:w="150" w:type="dxa"/>
              <w:right w:w="300" w:type="dxa"/>
            </w:tcMar>
            <w:hideMark/>
          </w:tcPr>
          <w:p w14:paraId="5831669F" w14:textId="77777777" w:rsidR="001B1CBE" w:rsidRPr="00097E7A" w:rsidRDefault="001B1CBE" w:rsidP="00213810"/>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7A3AC9C2" w14:textId="77777777" w:rsidR="001B1CBE" w:rsidRPr="00097E7A" w:rsidRDefault="001B1CBE" w:rsidP="00213810">
            <w:r w:rsidRPr="00097E7A">
              <w:t>2020/21</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3C5B1C2D" w14:textId="77777777" w:rsidR="001B1CBE" w:rsidRPr="00097E7A" w:rsidRDefault="001B1CBE" w:rsidP="00213810">
            <w:r w:rsidRPr="00097E7A">
              <w:t>2021/22</w:t>
            </w:r>
          </w:p>
        </w:tc>
      </w:tr>
      <w:tr w:rsidR="001B1CBE" w:rsidRPr="00097E7A" w14:paraId="2A9F046A"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632B4BCD" w14:textId="77777777" w:rsidR="001B1CBE" w:rsidRPr="00097E7A" w:rsidRDefault="001B1CBE" w:rsidP="00213810">
            <w:r w:rsidRPr="00097E7A">
              <w:t>Low prior</w:t>
            </w:r>
          </w:p>
        </w:tc>
        <w:tc>
          <w:tcPr>
            <w:tcW w:w="0" w:type="auto"/>
            <w:tcBorders>
              <w:bottom w:val="single" w:sz="6" w:space="0" w:color="B1B4B6"/>
            </w:tcBorders>
            <w:shd w:val="clear" w:color="auto" w:fill="FFFFFF"/>
            <w:tcMar>
              <w:top w:w="150" w:type="dxa"/>
              <w:left w:w="0" w:type="dxa"/>
              <w:bottom w:w="150" w:type="dxa"/>
              <w:right w:w="300" w:type="dxa"/>
            </w:tcMar>
            <w:hideMark/>
          </w:tcPr>
          <w:p w14:paraId="0F07D80F" w14:textId="77777777" w:rsidR="001B1CBE" w:rsidRPr="00097E7A" w:rsidRDefault="001B1CBE" w:rsidP="00213810">
            <w:r w:rsidRPr="00097E7A">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3AF87018" w14:textId="77777777" w:rsidR="001B1CBE" w:rsidRPr="00097E7A" w:rsidRDefault="001B1CBE" w:rsidP="00213810">
            <w:r w:rsidRPr="00097E7A">
              <w:t>174,719</w:t>
            </w:r>
          </w:p>
        </w:tc>
        <w:tc>
          <w:tcPr>
            <w:tcW w:w="0" w:type="auto"/>
            <w:tcBorders>
              <w:bottom w:val="single" w:sz="6" w:space="0" w:color="B1B4B6"/>
            </w:tcBorders>
            <w:tcMar>
              <w:top w:w="150" w:type="dxa"/>
              <w:left w:w="150" w:type="dxa"/>
              <w:bottom w:w="150" w:type="dxa"/>
              <w:right w:w="150" w:type="dxa"/>
            </w:tcMar>
            <w:hideMark/>
          </w:tcPr>
          <w:p w14:paraId="67F12ED8" w14:textId="77777777" w:rsidR="001B1CBE" w:rsidRPr="00097E7A" w:rsidRDefault="001B1CBE" w:rsidP="00213810">
            <w:r w:rsidRPr="00097E7A">
              <w:t>145,118</w:t>
            </w:r>
          </w:p>
        </w:tc>
      </w:tr>
      <w:tr w:rsidR="001B1CBE" w:rsidRPr="00097E7A" w14:paraId="0009B18C" w14:textId="77777777" w:rsidTr="00213810">
        <w:trPr>
          <w:tblCellSpacing w:w="15" w:type="dxa"/>
        </w:trPr>
        <w:tc>
          <w:tcPr>
            <w:tcW w:w="0" w:type="auto"/>
            <w:vMerge/>
            <w:tcBorders>
              <w:bottom w:val="single" w:sz="6" w:space="0" w:color="B1B4B6"/>
            </w:tcBorders>
            <w:vAlign w:val="center"/>
            <w:hideMark/>
          </w:tcPr>
          <w:p w14:paraId="31791839"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DA301A6" w14:textId="77777777" w:rsidR="001B1CBE" w:rsidRPr="00097E7A" w:rsidRDefault="001B1CBE" w:rsidP="00213810">
            <w:r w:rsidRPr="00097E7A">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418306F6" w14:textId="77777777" w:rsidR="001B1CBE" w:rsidRPr="00097E7A" w:rsidRDefault="001B1CBE" w:rsidP="00213810">
            <w:r w:rsidRPr="00097E7A">
              <w:t>17.6%</w:t>
            </w:r>
          </w:p>
        </w:tc>
        <w:tc>
          <w:tcPr>
            <w:tcW w:w="0" w:type="auto"/>
            <w:tcBorders>
              <w:bottom w:val="single" w:sz="6" w:space="0" w:color="B1B4B6"/>
            </w:tcBorders>
            <w:tcMar>
              <w:top w:w="150" w:type="dxa"/>
              <w:left w:w="150" w:type="dxa"/>
              <w:bottom w:w="150" w:type="dxa"/>
              <w:right w:w="150" w:type="dxa"/>
            </w:tcMar>
            <w:hideMark/>
          </w:tcPr>
          <w:p w14:paraId="5AAED40C" w14:textId="77777777" w:rsidR="001B1CBE" w:rsidRPr="00097E7A" w:rsidRDefault="001B1CBE" w:rsidP="00213810">
            <w:r w:rsidRPr="00097E7A">
              <w:t>15.9%</w:t>
            </w:r>
          </w:p>
        </w:tc>
      </w:tr>
      <w:tr w:rsidR="001B1CBE" w:rsidRPr="00097E7A" w14:paraId="59BBC1A8" w14:textId="77777777" w:rsidTr="00213810">
        <w:trPr>
          <w:tblCellSpacing w:w="15" w:type="dxa"/>
        </w:trPr>
        <w:tc>
          <w:tcPr>
            <w:tcW w:w="0" w:type="auto"/>
            <w:vMerge/>
            <w:tcBorders>
              <w:bottom w:val="single" w:sz="6" w:space="0" w:color="B1B4B6"/>
            </w:tcBorders>
            <w:vAlign w:val="center"/>
            <w:hideMark/>
          </w:tcPr>
          <w:p w14:paraId="0EECEB87"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32145F34" w14:textId="77777777" w:rsidR="001B1CBE" w:rsidRPr="00097E7A" w:rsidRDefault="001B1CBE" w:rsidP="00213810">
            <w:r w:rsidRPr="00097E7A">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5295281F" w14:textId="77777777" w:rsidR="001B1CBE" w:rsidRPr="00097E7A" w:rsidRDefault="001B1CBE" w:rsidP="00213810">
            <w:r w:rsidRPr="00097E7A">
              <w:t>14.6%</w:t>
            </w:r>
          </w:p>
        </w:tc>
        <w:tc>
          <w:tcPr>
            <w:tcW w:w="0" w:type="auto"/>
            <w:tcBorders>
              <w:bottom w:val="single" w:sz="6" w:space="0" w:color="B1B4B6"/>
            </w:tcBorders>
            <w:tcMar>
              <w:top w:w="150" w:type="dxa"/>
              <w:left w:w="150" w:type="dxa"/>
              <w:bottom w:w="150" w:type="dxa"/>
              <w:right w:w="150" w:type="dxa"/>
            </w:tcMar>
            <w:hideMark/>
          </w:tcPr>
          <w:p w14:paraId="3F3119E8" w14:textId="77777777" w:rsidR="001B1CBE" w:rsidRPr="00097E7A" w:rsidRDefault="001B1CBE" w:rsidP="00213810">
            <w:r w:rsidRPr="00097E7A">
              <w:t>10.1%</w:t>
            </w:r>
          </w:p>
        </w:tc>
      </w:tr>
      <w:tr w:rsidR="001B1CBE" w:rsidRPr="00097E7A" w14:paraId="433C408E" w14:textId="77777777" w:rsidTr="00213810">
        <w:trPr>
          <w:tblCellSpacing w:w="15" w:type="dxa"/>
        </w:trPr>
        <w:tc>
          <w:tcPr>
            <w:tcW w:w="0" w:type="auto"/>
            <w:vMerge/>
            <w:tcBorders>
              <w:bottom w:val="single" w:sz="6" w:space="0" w:color="B1B4B6"/>
            </w:tcBorders>
            <w:vAlign w:val="center"/>
            <w:hideMark/>
          </w:tcPr>
          <w:p w14:paraId="130124D9"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2DEF5201" w14:textId="77777777" w:rsidR="001B1CBE" w:rsidRPr="00097E7A" w:rsidRDefault="001B1CBE" w:rsidP="00213810">
            <w:r w:rsidRPr="00097E7A">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5129BA8B" w14:textId="77777777" w:rsidR="001B1CBE" w:rsidRPr="00097E7A" w:rsidRDefault="001B1CBE" w:rsidP="00213810">
            <w:r w:rsidRPr="00097E7A">
              <w:t>34.2</w:t>
            </w:r>
          </w:p>
        </w:tc>
        <w:tc>
          <w:tcPr>
            <w:tcW w:w="0" w:type="auto"/>
            <w:tcBorders>
              <w:bottom w:val="single" w:sz="6" w:space="0" w:color="B1B4B6"/>
            </w:tcBorders>
            <w:tcMar>
              <w:top w:w="150" w:type="dxa"/>
              <w:left w:w="150" w:type="dxa"/>
              <w:bottom w:w="150" w:type="dxa"/>
              <w:right w:w="150" w:type="dxa"/>
            </w:tcMar>
            <w:hideMark/>
          </w:tcPr>
          <w:p w14:paraId="48E63997" w14:textId="77777777" w:rsidR="001B1CBE" w:rsidRPr="00097E7A" w:rsidRDefault="001B1CBE" w:rsidP="00213810">
            <w:r w:rsidRPr="00097E7A">
              <w:t>29.6</w:t>
            </w:r>
          </w:p>
        </w:tc>
      </w:tr>
      <w:tr w:rsidR="001B1CBE" w:rsidRPr="00097E7A" w14:paraId="6A847686" w14:textId="77777777" w:rsidTr="00213810">
        <w:trPr>
          <w:tblCellSpacing w:w="15" w:type="dxa"/>
        </w:trPr>
        <w:tc>
          <w:tcPr>
            <w:tcW w:w="0" w:type="auto"/>
            <w:vMerge/>
            <w:tcBorders>
              <w:bottom w:val="single" w:sz="6" w:space="0" w:color="B1B4B6"/>
            </w:tcBorders>
            <w:vAlign w:val="center"/>
            <w:hideMark/>
          </w:tcPr>
          <w:p w14:paraId="7985543C"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AFD7B09" w14:textId="77777777" w:rsidR="001B1CBE" w:rsidRPr="00097E7A" w:rsidRDefault="001B1CBE" w:rsidP="00213810">
            <w:r w:rsidRPr="00097E7A">
              <w:t>Average EBacc APS score per pupil</w:t>
            </w:r>
          </w:p>
        </w:tc>
        <w:tc>
          <w:tcPr>
            <w:tcW w:w="0" w:type="auto"/>
            <w:tcBorders>
              <w:bottom w:val="single" w:sz="6" w:space="0" w:color="B1B4B6"/>
            </w:tcBorders>
            <w:tcMar>
              <w:top w:w="150" w:type="dxa"/>
              <w:left w:w="150" w:type="dxa"/>
              <w:bottom w:w="150" w:type="dxa"/>
              <w:right w:w="150" w:type="dxa"/>
            </w:tcMar>
            <w:hideMark/>
          </w:tcPr>
          <w:p w14:paraId="3965B7DA" w14:textId="77777777" w:rsidR="001B1CBE" w:rsidRPr="00097E7A" w:rsidRDefault="001B1CBE" w:rsidP="00213810">
            <w:r w:rsidRPr="00097E7A">
              <w:t>2.76</w:t>
            </w:r>
          </w:p>
        </w:tc>
        <w:tc>
          <w:tcPr>
            <w:tcW w:w="0" w:type="auto"/>
            <w:tcBorders>
              <w:bottom w:val="single" w:sz="6" w:space="0" w:color="B1B4B6"/>
            </w:tcBorders>
            <w:tcMar>
              <w:top w:w="150" w:type="dxa"/>
              <w:left w:w="150" w:type="dxa"/>
              <w:bottom w:w="150" w:type="dxa"/>
              <w:right w:w="150" w:type="dxa"/>
            </w:tcMar>
            <w:hideMark/>
          </w:tcPr>
          <w:p w14:paraId="0E4AE6C9" w14:textId="77777777" w:rsidR="001B1CBE" w:rsidRPr="00097E7A" w:rsidRDefault="001B1CBE" w:rsidP="00213810">
            <w:r w:rsidRPr="00097E7A">
              <w:t>2.40</w:t>
            </w:r>
          </w:p>
        </w:tc>
      </w:tr>
      <w:tr w:rsidR="001B1CBE" w:rsidRPr="00097E7A" w14:paraId="19CFCEF7"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76C3D3C9" w14:textId="77777777" w:rsidR="001B1CBE" w:rsidRPr="00097E7A" w:rsidRDefault="001B1CBE" w:rsidP="00213810">
            <w:r w:rsidRPr="00097E7A">
              <w:t>Mid prior</w:t>
            </w:r>
          </w:p>
        </w:tc>
        <w:tc>
          <w:tcPr>
            <w:tcW w:w="0" w:type="auto"/>
            <w:tcBorders>
              <w:bottom w:val="single" w:sz="6" w:space="0" w:color="B1B4B6"/>
            </w:tcBorders>
            <w:shd w:val="clear" w:color="auto" w:fill="FFFFFF"/>
            <w:tcMar>
              <w:top w:w="150" w:type="dxa"/>
              <w:left w:w="0" w:type="dxa"/>
              <w:bottom w:w="150" w:type="dxa"/>
              <w:right w:w="300" w:type="dxa"/>
            </w:tcMar>
            <w:hideMark/>
          </w:tcPr>
          <w:p w14:paraId="51A0AF71" w14:textId="77777777" w:rsidR="001B1CBE" w:rsidRPr="00097E7A" w:rsidRDefault="001B1CBE" w:rsidP="00213810">
            <w:r w:rsidRPr="00097E7A">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1C7771C5" w14:textId="77777777" w:rsidR="001B1CBE" w:rsidRPr="00097E7A" w:rsidRDefault="001B1CBE" w:rsidP="00213810">
            <w:r w:rsidRPr="00097E7A">
              <w:t>283,962</w:t>
            </w:r>
          </w:p>
        </w:tc>
        <w:tc>
          <w:tcPr>
            <w:tcW w:w="0" w:type="auto"/>
            <w:tcBorders>
              <w:bottom w:val="single" w:sz="6" w:space="0" w:color="B1B4B6"/>
            </w:tcBorders>
            <w:tcMar>
              <w:top w:w="150" w:type="dxa"/>
              <w:left w:w="150" w:type="dxa"/>
              <w:bottom w:w="150" w:type="dxa"/>
              <w:right w:w="150" w:type="dxa"/>
            </w:tcMar>
            <w:hideMark/>
          </w:tcPr>
          <w:p w14:paraId="2D5465BD" w14:textId="77777777" w:rsidR="001B1CBE" w:rsidRPr="00097E7A" w:rsidRDefault="001B1CBE" w:rsidP="00213810">
            <w:r w:rsidRPr="00097E7A">
              <w:t>287,395</w:t>
            </w:r>
          </w:p>
        </w:tc>
      </w:tr>
      <w:tr w:rsidR="001B1CBE" w:rsidRPr="00097E7A" w14:paraId="18F750A8" w14:textId="77777777" w:rsidTr="00213810">
        <w:trPr>
          <w:tblCellSpacing w:w="15" w:type="dxa"/>
        </w:trPr>
        <w:tc>
          <w:tcPr>
            <w:tcW w:w="0" w:type="auto"/>
            <w:vMerge/>
            <w:tcBorders>
              <w:bottom w:val="single" w:sz="6" w:space="0" w:color="B1B4B6"/>
            </w:tcBorders>
            <w:vAlign w:val="center"/>
            <w:hideMark/>
          </w:tcPr>
          <w:p w14:paraId="5443A243"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41B4B796" w14:textId="77777777" w:rsidR="001B1CBE" w:rsidRPr="00097E7A" w:rsidRDefault="001B1CBE" w:rsidP="00213810">
            <w:r w:rsidRPr="00097E7A">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4CF3C7C3" w14:textId="77777777" w:rsidR="001B1CBE" w:rsidRPr="00097E7A" w:rsidRDefault="001B1CBE" w:rsidP="00213810">
            <w:r w:rsidRPr="00097E7A">
              <w:t>43.5%</w:t>
            </w:r>
          </w:p>
        </w:tc>
        <w:tc>
          <w:tcPr>
            <w:tcW w:w="0" w:type="auto"/>
            <w:tcBorders>
              <w:bottom w:val="single" w:sz="6" w:space="0" w:color="B1B4B6"/>
            </w:tcBorders>
            <w:tcMar>
              <w:top w:w="150" w:type="dxa"/>
              <w:left w:w="150" w:type="dxa"/>
              <w:bottom w:w="150" w:type="dxa"/>
              <w:right w:w="150" w:type="dxa"/>
            </w:tcMar>
            <w:hideMark/>
          </w:tcPr>
          <w:p w14:paraId="3F436E9D" w14:textId="77777777" w:rsidR="001B1CBE" w:rsidRPr="00097E7A" w:rsidRDefault="001B1CBE" w:rsidP="00213810">
            <w:r w:rsidRPr="00097E7A">
              <w:t>40.0%</w:t>
            </w:r>
          </w:p>
        </w:tc>
      </w:tr>
      <w:tr w:rsidR="001B1CBE" w:rsidRPr="00097E7A" w14:paraId="113F1105" w14:textId="77777777" w:rsidTr="00213810">
        <w:trPr>
          <w:tblCellSpacing w:w="15" w:type="dxa"/>
        </w:trPr>
        <w:tc>
          <w:tcPr>
            <w:tcW w:w="0" w:type="auto"/>
            <w:vMerge/>
            <w:tcBorders>
              <w:bottom w:val="single" w:sz="6" w:space="0" w:color="B1B4B6"/>
            </w:tcBorders>
            <w:vAlign w:val="center"/>
            <w:hideMark/>
          </w:tcPr>
          <w:p w14:paraId="62DE0BC7"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7B76CDD2" w14:textId="77777777" w:rsidR="001B1CBE" w:rsidRPr="00097E7A" w:rsidRDefault="001B1CBE" w:rsidP="00213810">
            <w:r w:rsidRPr="00097E7A">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17C2ED26" w14:textId="77777777" w:rsidR="001B1CBE" w:rsidRPr="00097E7A" w:rsidRDefault="001B1CBE" w:rsidP="00213810">
            <w:r w:rsidRPr="00097E7A">
              <w:t>63.7%</w:t>
            </w:r>
          </w:p>
        </w:tc>
        <w:tc>
          <w:tcPr>
            <w:tcW w:w="0" w:type="auto"/>
            <w:tcBorders>
              <w:bottom w:val="single" w:sz="6" w:space="0" w:color="B1B4B6"/>
            </w:tcBorders>
            <w:tcMar>
              <w:top w:w="150" w:type="dxa"/>
              <w:left w:w="150" w:type="dxa"/>
              <w:bottom w:w="150" w:type="dxa"/>
              <w:right w:w="150" w:type="dxa"/>
            </w:tcMar>
            <w:hideMark/>
          </w:tcPr>
          <w:p w14:paraId="2C108806" w14:textId="77777777" w:rsidR="001B1CBE" w:rsidRPr="00097E7A" w:rsidRDefault="001B1CBE" w:rsidP="00213810">
            <w:r w:rsidRPr="00097E7A">
              <w:t>53.4%</w:t>
            </w:r>
          </w:p>
        </w:tc>
      </w:tr>
      <w:tr w:rsidR="001B1CBE" w:rsidRPr="00097E7A" w14:paraId="5BFB715B" w14:textId="77777777" w:rsidTr="00213810">
        <w:trPr>
          <w:tblCellSpacing w:w="15" w:type="dxa"/>
        </w:trPr>
        <w:tc>
          <w:tcPr>
            <w:tcW w:w="0" w:type="auto"/>
            <w:vMerge/>
            <w:tcBorders>
              <w:bottom w:val="single" w:sz="6" w:space="0" w:color="B1B4B6"/>
            </w:tcBorders>
            <w:vAlign w:val="center"/>
            <w:hideMark/>
          </w:tcPr>
          <w:p w14:paraId="3B7CA131"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3740AD5E" w14:textId="77777777" w:rsidR="001B1CBE" w:rsidRPr="00097E7A" w:rsidRDefault="001B1CBE" w:rsidP="00213810">
            <w:r w:rsidRPr="00097E7A">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4747BD73" w14:textId="77777777" w:rsidR="001B1CBE" w:rsidRPr="00097E7A" w:rsidRDefault="001B1CBE" w:rsidP="00213810">
            <w:r w:rsidRPr="00097E7A">
              <w:t>55.2</w:t>
            </w:r>
          </w:p>
        </w:tc>
        <w:tc>
          <w:tcPr>
            <w:tcW w:w="0" w:type="auto"/>
            <w:tcBorders>
              <w:bottom w:val="single" w:sz="6" w:space="0" w:color="B1B4B6"/>
            </w:tcBorders>
            <w:tcMar>
              <w:top w:w="150" w:type="dxa"/>
              <w:left w:w="150" w:type="dxa"/>
              <w:bottom w:w="150" w:type="dxa"/>
              <w:right w:w="150" w:type="dxa"/>
            </w:tcMar>
            <w:hideMark/>
          </w:tcPr>
          <w:p w14:paraId="263BB780" w14:textId="77777777" w:rsidR="001B1CBE" w:rsidRPr="00097E7A" w:rsidRDefault="001B1CBE" w:rsidP="00213810">
            <w:r w:rsidRPr="00097E7A">
              <w:t>50.2</w:t>
            </w:r>
          </w:p>
        </w:tc>
      </w:tr>
      <w:tr w:rsidR="001B1CBE" w:rsidRPr="00097E7A" w14:paraId="35EBB701" w14:textId="77777777" w:rsidTr="00213810">
        <w:trPr>
          <w:tblCellSpacing w:w="15" w:type="dxa"/>
        </w:trPr>
        <w:tc>
          <w:tcPr>
            <w:tcW w:w="0" w:type="auto"/>
            <w:vMerge/>
            <w:tcBorders>
              <w:bottom w:val="single" w:sz="6" w:space="0" w:color="B1B4B6"/>
            </w:tcBorders>
            <w:vAlign w:val="center"/>
            <w:hideMark/>
          </w:tcPr>
          <w:p w14:paraId="58389150"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D2BA16D" w14:textId="77777777" w:rsidR="001B1CBE" w:rsidRPr="00097E7A" w:rsidRDefault="001B1CBE" w:rsidP="00213810">
            <w:r w:rsidRPr="00097E7A">
              <w:t>Average EBacc APS score per pupil</w:t>
            </w:r>
          </w:p>
        </w:tc>
        <w:tc>
          <w:tcPr>
            <w:tcW w:w="0" w:type="auto"/>
            <w:tcBorders>
              <w:bottom w:val="single" w:sz="6" w:space="0" w:color="B1B4B6"/>
            </w:tcBorders>
            <w:tcMar>
              <w:top w:w="150" w:type="dxa"/>
              <w:left w:w="150" w:type="dxa"/>
              <w:bottom w:w="150" w:type="dxa"/>
              <w:right w:w="150" w:type="dxa"/>
            </w:tcMar>
            <w:hideMark/>
          </w:tcPr>
          <w:p w14:paraId="5DDC93A2" w14:textId="77777777" w:rsidR="001B1CBE" w:rsidRPr="00097E7A" w:rsidRDefault="001B1CBE" w:rsidP="00213810">
            <w:r w:rsidRPr="00097E7A">
              <w:t>4.83</w:t>
            </w:r>
          </w:p>
        </w:tc>
        <w:tc>
          <w:tcPr>
            <w:tcW w:w="0" w:type="auto"/>
            <w:tcBorders>
              <w:bottom w:val="single" w:sz="6" w:space="0" w:color="B1B4B6"/>
            </w:tcBorders>
            <w:tcMar>
              <w:top w:w="150" w:type="dxa"/>
              <w:left w:w="150" w:type="dxa"/>
              <w:bottom w:w="150" w:type="dxa"/>
              <w:right w:w="150" w:type="dxa"/>
            </w:tcMar>
            <w:hideMark/>
          </w:tcPr>
          <w:p w14:paraId="7218A12A" w14:textId="77777777" w:rsidR="001B1CBE" w:rsidRPr="00097E7A" w:rsidRDefault="001B1CBE" w:rsidP="00213810">
            <w:r w:rsidRPr="00097E7A">
              <w:t>4.36</w:t>
            </w:r>
          </w:p>
        </w:tc>
      </w:tr>
      <w:tr w:rsidR="001B1CBE" w:rsidRPr="00097E7A" w14:paraId="4E3DFBC9"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2ED866D3" w14:textId="77777777" w:rsidR="001B1CBE" w:rsidRPr="00097E7A" w:rsidRDefault="001B1CBE" w:rsidP="00213810">
            <w:r w:rsidRPr="00097E7A">
              <w:t>High prior</w:t>
            </w:r>
          </w:p>
        </w:tc>
        <w:tc>
          <w:tcPr>
            <w:tcW w:w="0" w:type="auto"/>
            <w:tcBorders>
              <w:bottom w:val="single" w:sz="6" w:space="0" w:color="B1B4B6"/>
            </w:tcBorders>
            <w:shd w:val="clear" w:color="auto" w:fill="FFFFFF"/>
            <w:tcMar>
              <w:top w:w="150" w:type="dxa"/>
              <w:left w:w="0" w:type="dxa"/>
              <w:bottom w:w="150" w:type="dxa"/>
              <w:right w:w="300" w:type="dxa"/>
            </w:tcMar>
            <w:hideMark/>
          </w:tcPr>
          <w:p w14:paraId="3EED6EBD" w14:textId="77777777" w:rsidR="001B1CBE" w:rsidRPr="00097E7A" w:rsidRDefault="001B1CBE" w:rsidP="00213810">
            <w:r w:rsidRPr="00097E7A">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35BE2A71" w14:textId="77777777" w:rsidR="001B1CBE" w:rsidRPr="00097E7A" w:rsidRDefault="001B1CBE" w:rsidP="00213810">
            <w:r w:rsidRPr="00097E7A">
              <w:t>83,342</w:t>
            </w:r>
          </w:p>
        </w:tc>
        <w:tc>
          <w:tcPr>
            <w:tcW w:w="0" w:type="auto"/>
            <w:tcBorders>
              <w:bottom w:val="single" w:sz="6" w:space="0" w:color="B1B4B6"/>
            </w:tcBorders>
            <w:tcMar>
              <w:top w:w="150" w:type="dxa"/>
              <w:left w:w="150" w:type="dxa"/>
              <w:bottom w:w="150" w:type="dxa"/>
              <w:right w:w="150" w:type="dxa"/>
            </w:tcMar>
            <w:hideMark/>
          </w:tcPr>
          <w:p w14:paraId="5B6F0C76" w14:textId="77777777" w:rsidR="001B1CBE" w:rsidRPr="00097E7A" w:rsidRDefault="001B1CBE" w:rsidP="00213810">
            <w:r w:rsidRPr="00097E7A">
              <w:t>121,037</w:t>
            </w:r>
          </w:p>
        </w:tc>
      </w:tr>
      <w:tr w:rsidR="001B1CBE" w:rsidRPr="00097E7A" w14:paraId="43AC1BC1" w14:textId="77777777" w:rsidTr="00213810">
        <w:trPr>
          <w:tblCellSpacing w:w="15" w:type="dxa"/>
        </w:trPr>
        <w:tc>
          <w:tcPr>
            <w:tcW w:w="0" w:type="auto"/>
            <w:vMerge/>
            <w:tcBorders>
              <w:bottom w:val="single" w:sz="6" w:space="0" w:color="B1B4B6"/>
            </w:tcBorders>
            <w:vAlign w:val="center"/>
            <w:hideMark/>
          </w:tcPr>
          <w:p w14:paraId="3AF11D98"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4F092650" w14:textId="77777777" w:rsidR="001B1CBE" w:rsidRPr="00097E7A" w:rsidRDefault="001B1CBE" w:rsidP="00213810">
            <w:r w:rsidRPr="00097E7A">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2D0F9997" w14:textId="77777777" w:rsidR="001B1CBE" w:rsidRPr="00097E7A" w:rsidRDefault="001B1CBE" w:rsidP="00213810">
            <w:r w:rsidRPr="00097E7A">
              <w:t>67.6%</w:t>
            </w:r>
          </w:p>
        </w:tc>
        <w:tc>
          <w:tcPr>
            <w:tcW w:w="0" w:type="auto"/>
            <w:tcBorders>
              <w:bottom w:val="single" w:sz="6" w:space="0" w:color="B1B4B6"/>
            </w:tcBorders>
            <w:tcMar>
              <w:top w:w="150" w:type="dxa"/>
              <w:left w:w="150" w:type="dxa"/>
              <w:bottom w:w="150" w:type="dxa"/>
              <w:right w:w="150" w:type="dxa"/>
            </w:tcMar>
            <w:hideMark/>
          </w:tcPr>
          <w:p w14:paraId="4A83F71E" w14:textId="77777777" w:rsidR="001B1CBE" w:rsidRPr="00097E7A" w:rsidRDefault="001B1CBE" w:rsidP="00213810">
            <w:r w:rsidRPr="00097E7A">
              <w:t>63.1%</w:t>
            </w:r>
          </w:p>
        </w:tc>
      </w:tr>
      <w:tr w:rsidR="001B1CBE" w:rsidRPr="00097E7A" w14:paraId="0C5CFDF8" w14:textId="77777777" w:rsidTr="00213810">
        <w:trPr>
          <w:tblCellSpacing w:w="15" w:type="dxa"/>
        </w:trPr>
        <w:tc>
          <w:tcPr>
            <w:tcW w:w="0" w:type="auto"/>
            <w:vMerge/>
            <w:tcBorders>
              <w:bottom w:val="single" w:sz="6" w:space="0" w:color="B1B4B6"/>
            </w:tcBorders>
            <w:vAlign w:val="center"/>
            <w:hideMark/>
          </w:tcPr>
          <w:p w14:paraId="3CB19D7F"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4F3D793" w14:textId="77777777" w:rsidR="001B1CBE" w:rsidRPr="00097E7A" w:rsidRDefault="001B1CBE" w:rsidP="00213810">
            <w:r w:rsidRPr="00097E7A">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19A1CBFD" w14:textId="77777777" w:rsidR="001B1CBE" w:rsidRPr="00097E7A" w:rsidRDefault="001B1CBE" w:rsidP="00213810">
            <w:r w:rsidRPr="00097E7A">
              <w:t>95.0%</w:t>
            </w:r>
          </w:p>
        </w:tc>
        <w:tc>
          <w:tcPr>
            <w:tcW w:w="0" w:type="auto"/>
            <w:tcBorders>
              <w:bottom w:val="single" w:sz="6" w:space="0" w:color="B1B4B6"/>
            </w:tcBorders>
            <w:tcMar>
              <w:top w:w="150" w:type="dxa"/>
              <w:left w:w="150" w:type="dxa"/>
              <w:bottom w:w="150" w:type="dxa"/>
              <w:right w:w="150" w:type="dxa"/>
            </w:tcMar>
            <w:hideMark/>
          </w:tcPr>
          <w:p w14:paraId="6F1B7B7B" w14:textId="77777777" w:rsidR="001B1CBE" w:rsidRPr="00097E7A" w:rsidRDefault="001B1CBE" w:rsidP="00213810">
            <w:r w:rsidRPr="00097E7A">
              <w:t>90.6%</w:t>
            </w:r>
          </w:p>
        </w:tc>
      </w:tr>
      <w:tr w:rsidR="001B1CBE" w:rsidRPr="00097E7A" w14:paraId="3142D562" w14:textId="77777777" w:rsidTr="00213810">
        <w:trPr>
          <w:tblCellSpacing w:w="15" w:type="dxa"/>
        </w:trPr>
        <w:tc>
          <w:tcPr>
            <w:tcW w:w="0" w:type="auto"/>
            <w:vMerge/>
            <w:tcBorders>
              <w:bottom w:val="single" w:sz="6" w:space="0" w:color="B1B4B6"/>
            </w:tcBorders>
            <w:vAlign w:val="center"/>
            <w:hideMark/>
          </w:tcPr>
          <w:p w14:paraId="6687D64D"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435458E" w14:textId="77777777" w:rsidR="001B1CBE" w:rsidRPr="00097E7A" w:rsidRDefault="001B1CBE" w:rsidP="00213810">
            <w:r w:rsidRPr="00097E7A">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0ABA1C8D" w14:textId="77777777" w:rsidR="001B1CBE" w:rsidRPr="00097E7A" w:rsidRDefault="001B1CBE" w:rsidP="00213810">
            <w:r w:rsidRPr="00097E7A">
              <w:t>74.1</w:t>
            </w:r>
          </w:p>
        </w:tc>
        <w:tc>
          <w:tcPr>
            <w:tcW w:w="0" w:type="auto"/>
            <w:tcBorders>
              <w:bottom w:val="single" w:sz="6" w:space="0" w:color="B1B4B6"/>
            </w:tcBorders>
            <w:tcMar>
              <w:top w:w="150" w:type="dxa"/>
              <w:left w:w="150" w:type="dxa"/>
              <w:bottom w:w="150" w:type="dxa"/>
              <w:right w:w="150" w:type="dxa"/>
            </w:tcMar>
            <w:hideMark/>
          </w:tcPr>
          <w:p w14:paraId="20E5F709" w14:textId="77777777" w:rsidR="001B1CBE" w:rsidRPr="00097E7A" w:rsidRDefault="001B1CBE" w:rsidP="00213810">
            <w:r w:rsidRPr="00097E7A">
              <w:t>69.4</w:t>
            </w:r>
          </w:p>
        </w:tc>
      </w:tr>
      <w:tr w:rsidR="001B1CBE" w:rsidRPr="00097E7A" w14:paraId="2CADFF90" w14:textId="77777777" w:rsidTr="00213810">
        <w:trPr>
          <w:tblCellSpacing w:w="15" w:type="dxa"/>
        </w:trPr>
        <w:tc>
          <w:tcPr>
            <w:tcW w:w="0" w:type="auto"/>
            <w:vMerge/>
            <w:tcBorders>
              <w:bottom w:val="single" w:sz="6" w:space="0" w:color="B1B4B6"/>
            </w:tcBorders>
            <w:vAlign w:val="center"/>
            <w:hideMark/>
          </w:tcPr>
          <w:p w14:paraId="6C00E485" w14:textId="77777777" w:rsidR="001B1CBE" w:rsidRPr="00097E7A"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794BACF0" w14:textId="77777777" w:rsidR="001B1CBE" w:rsidRPr="00097E7A" w:rsidRDefault="001B1CBE" w:rsidP="00213810">
            <w:r w:rsidRPr="00097E7A">
              <w:t>Average EBacc APS score per pupil</w:t>
            </w:r>
          </w:p>
        </w:tc>
        <w:tc>
          <w:tcPr>
            <w:tcW w:w="0" w:type="auto"/>
            <w:tcBorders>
              <w:bottom w:val="single" w:sz="6" w:space="0" w:color="B1B4B6"/>
            </w:tcBorders>
            <w:tcMar>
              <w:top w:w="150" w:type="dxa"/>
              <w:left w:w="150" w:type="dxa"/>
              <w:bottom w:w="150" w:type="dxa"/>
              <w:right w:w="150" w:type="dxa"/>
            </w:tcMar>
            <w:hideMark/>
          </w:tcPr>
          <w:p w14:paraId="67365F4F" w14:textId="77777777" w:rsidR="001B1CBE" w:rsidRPr="00097E7A" w:rsidRDefault="001B1CBE" w:rsidP="00213810">
            <w:r w:rsidRPr="00097E7A">
              <w:t>6.89</w:t>
            </w:r>
          </w:p>
        </w:tc>
        <w:tc>
          <w:tcPr>
            <w:tcW w:w="0" w:type="auto"/>
            <w:tcBorders>
              <w:bottom w:val="single" w:sz="6" w:space="0" w:color="B1B4B6"/>
            </w:tcBorders>
            <w:tcMar>
              <w:top w:w="150" w:type="dxa"/>
              <w:left w:w="150" w:type="dxa"/>
              <w:bottom w:w="150" w:type="dxa"/>
              <w:right w:w="150" w:type="dxa"/>
            </w:tcMar>
            <w:hideMark/>
          </w:tcPr>
          <w:p w14:paraId="2BF337BC" w14:textId="77777777" w:rsidR="001B1CBE" w:rsidRPr="00097E7A" w:rsidRDefault="001B1CBE" w:rsidP="00213810">
            <w:r w:rsidRPr="00097E7A">
              <w:t>6.40</w:t>
            </w:r>
          </w:p>
        </w:tc>
      </w:tr>
    </w:tbl>
    <w:p w14:paraId="2A32101B" w14:textId="77777777" w:rsidR="001B1CBE" w:rsidRDefault="001B1CBE" w:rsidP="001B1CBE"/>
    <w:p w14:paraId="5DA098A6" w14:textId="77777777" w:rsidR="001B1CBE" w:rsidRDefault="001B1CBE" w:rsidP="001B1CBE"/>
    <w:p w14:paraId="750D0506" w14:textId="77777777" w:rsidR="001B1CBE" w:rsidRPr="00F8778F" w:rsidRDefault="001B1CBE" w:rsidP="001B1CBE">
      <w:pPr>
        <w:rPr>
          <w:b/>
          <w:bCs/>
        </w:rPr>
      </w:pPr>
      <w:r w:rsidRPr="00F8778F">
        <w:rPr>
          <w:b/>
          <w:bCs/>
        </w:rPr>
        <w:t>Attainment by special educational needs (SEN) pupils in state-funded schools in England, 2018/19 – 2021/22</w:t>
      </w:r>
    </w:p>
    <w:tbl>
      <w:tblPr>
        <w:tblW w:w="13218" w:type="dxa"/>
        <w:tblCellSpacing w:w="15" w:type="dxa"/>
        <w:tblCellMar>
          <w:top w:w="15" w:type="dxa"/>
          <w:left w:w="15" w:type="dxa"/>
          <w:bottom w:w="15" w:type="dxa"/>
          <w:right w:w="15" w:type="dxa"/>
        </w:tblCellMar>
        <w:tblLook w:val="04A0" w:firstRow="1" w:lastRow="0" w:firstColumn="1" w:lastColumn="0" w:noHBand="0" w:noVBand="1"/>
      </w:tblPr>
      <w:tblGrid>
        <w:gridCol w:w="1999"/>
        <w:gridCol w:w="4944"/>
        <w:gridCol w:w="1565"/>
        <w:gridCol w:w="1565"/>
        <w:gridCol w:w="1565"/>
        <w:gridCol w:w="1580"/>
      </w:tblGrid>
      <w:tr w:rsidR="001B1CBE" w:rsidRPr="00F8778F" w14:paraId="1DBC9386" w14:textId="77777777" w:rsidTr="00213810">
        <w:trPr>
          <w:tblHeader/>
          <w:tblCellSpacing w:w="15" w:type="dxa"/>
        </w:trPr>
        <w:tc>
          <w:tcPr>
            <w:tcW w:w="0" w:type="auto"/>
            <w:gridSpan w:val="2"/>
            <w:tcBorders>
              <w:bottom w:val="single" w:sz="6" w:space="0" w:color="B1B4B6"/>
            </w:tcBorders>
            <w:shd w:val="clear" w:color="auto" w:fill="FFFFFF"/>
            <w:tcMar>
              <w:top w:w="150" w:type="dxa"/>
              <w:left w:w="0" w:type="dxa"/>
              <w:bottom w:w="150" w:type="dxa"/>
              <w:right w:w="300" w:type="dxa"/>
            </w:tcMar>
            <w:hideMark/>
          </w:tcPr>
          <w:p w14:paraId="0F86A687" w14:textId="77777777" w:rsidR="001B1CBE" w:rsidRPr="00F8778F" w:rsidRDefault="001B1CBE" w:rsidP="00213810"/>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3BAF3986" w14:textId="77777777" w:rsidR="001B1CBE" w:rsidRPr="00F8778F" w:rsidRDefault="001B1CBE" w:rsidP="00213810">
            <w:r w:rsidRPr="00F8778F">
              <w:t>2018/19</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4C3E9129" w14:textId="77777777" w:rsidR="001B1CBE" w:rsidRPr="00F8778F" w:rsidRDefault="001B1CBE" w:rsidP="00213810">
            <w:r w:rsidRPr="00F8778F">
              <w:t>2019/20</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1753B6AD" w14:textId="77777777" w:rsidR="001B1CBE" w:rsidRPr="00F8778F" w:rsidRDefault="001B1CBE" w:rsidP="00213810">
            <w:r w:rsidRPr="00F8778F">
              <w:t>2020/21</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0193CA17" w14:textId="77777777" w:rsidR="001B1CBE" w:rsidRPr="00F8778F" w:rsidRDefault="001B1CBE" w:rsidP="00213810">
            <w:r w:rsidRPr="00F8778F">
              <w:t>2021/22</w:t>
            </w:r>
          </w:p>
        </w:tc>
      </w:tr>
      <w:tr w:rsidR="001B1CBE" w:rsidRPr="00F8778F" w14:paraId="2A00F6B5"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667433E0" w14:textId="77777777" w:rsidR="001B1CBE" w:rsidRPr="00F8778F" w:rsidRDefault="001B1CBE" w:rsidP="00213810">
            <w:r w:rsidRPr="00F8778F">
              <w:t>Any SEN</w:t>
            </w:r>
          </w:p>
        </w:tc>
        <w:tc>
          <w:tcPr>
            <w:tcW w:w="0" w:type="auto"/>
            <w:tcBorders>
              <w:bottom w:val="single" w:sz="6" w:space="0" w:color="B1B4B6"/>
            </w:tcBorders>
            <w:shd w:val="clear" w:color="auto" w:fill="FFFFFF"/>
            <w:tcMar>
              <w:top w:w="150" w:type="dxa"/>
              <w:left w:w="0" w:type="dxa"/>
              <w:bottom w:w="150" w:type="dxa"/>
              <w:right w:w="300" w:type="dxa"/>
            </w:tcMar>
            <w:hideMark/>
          </w:tcPr>
          <w:p w14:paraId="12F7068F" w14:textId="77777777" w:rsidR="001B1CBE" w:rsidRPr="00F8778F" w:rsidRDefault="001B1CBE" w:rsidP="00213810">
            <w:r w:rsidRPr="00F8778F">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29C36694" w14:textId="77777777" w:rsidR="001B1CBE" w:rsidRPr="00F8778F" w:rsidRDefault="001B1CBE" w:rsidP="00213810">
            <w:r w:rsidRPr="00F8778F">
              <w:t>76,961</w:t>
            </w:r>
          </w:p>
        </w:tc>
        <w:tc>
          <w:tcPr>
            <w:tcW w:w="0" w:type="auto"/>
            <w:tcBorders>
              <w:bottom w:val="single" w:sz="6" w:space="0" w:color="B1B4B6"/>
            </w:tcBorders>
            <w:tcMar>
              <w:top w:w="150" w:type="dxa"/>
              <w:left w:w="150" w:type="dxa"/>
              <w:bottom w:w="150" w:type="dxa"/>
              <w:right w:w="150" w:type="dxa"/>
            </w:tcMar>
            <w:hideMark/>
          </w:tcPr>
          <w:p w14:paraId="4843124F" w14:textId="77777777" w:rsidR="001B1CBE" w:rsidRPr="00F8778F" w:rsidRDefault="001B1CBE" w:rsidP="00213810">
            <w:r w:rsidRPr="00F8778F">
              <w:t>82,093</w:t>
            </w:r>
          </w:p>
        </w:tc>
        <w:tc>
          <w:tcPr>
            <w:tcW w:w="0" w:type="auto"/>
            <w:tcBorders>
              <w:bottom w:val="single" w:sz="6" w:space="0" w:color="B1B4B6"/>
            </w:tcBorders>
            <w:tcMar>
              <w:top w:w="150" w:type="dxa"/>
              <w:left w:w="150" w:type="dxa"/>
              <w:bottom w:w="150" w:type="dxa"/>
              <w:right w:w="150" w:type="dxa"/>
            </w:tcMar>
            <w:hideMark/>
          </w:tcPr>
          <w:p w14:paraId="502232AC" w14:textId="77777777" w:rsidR="001B1CBE" w:rsidRPr="00F8778F" w:rsidRDefault="001B1CBE" w:rsidP="00213810">
            <w:r w:rsidRPr="00F8778F">
              <w:t>87,210</w:t>
            </w:r>
          </w:p>
        </w:tc>
        <w:tc>
          <w:tcPr>
            <w:tcW w:w="0" w:type="auto"/>
            <w:tcBorders>
              <w:bottom w:val="single" w:sz="6" w:space="0" w:color="B1B4B6"/>
            </w:tcBorders>
            <w:tcMar>
              <w:top w:w="150" w:type="dxa"/>
              <w:left w:w="150" w:type="dxa"/>
              <w:bottom w:w="150" w:type="dxa"/>
              <w:right w:w="150" w:type="dxa"/>
            </w:tcMar>
            <w:hideMark/>
          </w:tcPr>
          <w:p w14:paraId="4AFEBF62" w14:textId="77777777" w:rsidR="001B1CBE" w:rsidRPr="00F8778F" w:rsidRDefault="001B1CBE" w:rsidP="00213810">
            <w:r w:rsidRPr="00F8778F">
              <w:t>92,411</w:t>
            </w:r>
          </w:p>
        </w:tc>
      </w:tr>
      <w:tr w:rsidR="001B1CBE" w:rsidRPr="00F8778F" w14:paraId="06622A65" w14:textId="77777777" w:rsidTr="00213810">
        <w:trPr>
          <w:tblCellSpacing w:w="15" w:type="dxa"/>
        </w:trPr>
        <w:tc>
          <w:tcPr>
            <w:tcW w:w="0" w:type="auto"/>
            <w:vMerge/>
            <w:tcBorders>
              <w:bottom w:val="single" w:sz="6" w:space="0" w:color="B1B4B6"/>
            </w:tcBorders>
            <w:vAlign w:val="center"/>
            <w:hideMark/>
          </w:tcPr>
          <w:p w14:paraId="02054B02"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201B499F" w14:textId="77777777" w:rsidR="001B1CBE" w:rsidRPr="00F8778F" w:rsidRDefault="001B1CBE" w:rsidP="00213810">
            <w:r w:rsidRPr="00F8778F">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51E40D96" w14:textId="77777777" w:rsidR="001B1CBE" w:rsidRPr="00F8778F" w:rsidRDefault="001B1CBE" w:rsidP="00213810">
            <w:r w:rsidRPr="00F8778F">
              <w:t>13.5%</w:t>
            </w:r>
          </w:p>
        </w:tc>
        <w:tc>
          <w:tcPr>
            <w:tcW w:w="0" w:type="auto"/>
            <w:tcBorders>
              <w:bottom w:val="single" w:sz="6" w:space="0" w:color="B1B4B6"/>
            </w:tcBorders>
            <w:tcMar>
              <w:top w:w="150" w:type="dxa"/>
              <w:left w:w="150" w:type="dxa"/>
              <w:bottom w:w="150" w:type="dxa"/>
              <w:right w:w="150" w:type="dxa"/>
            </w:tcMar>
            <w:hideMark/>
          </w:tcPr>
          <w:p w14:paraId="34EA2682" w14:textId="77777777" w:rsidR="001B1CBE" w:rsidRPr="00F8778F" w:rsidRDefault="001B1CBE" w:rsidP="00213810">
            <w:r w:rsidRPr="00F8778F">
              <w:t>13.8%</w:t>
            </w:r>
          </w:p>
        </w:tc>
        <w:tc>
          <w:tcPr>
            <w:tcW w:w="0" w:type="auto"/>
            <w:tcBorders>
              <w:bottom w:val="single" w:sz="6" w:space="0" w:color="B1B4B6"/>
            </w:tcBorders>
            <w:tcMar>
              <w:top w:w="150" w:type="dxa"/>
              <w:left w:w="150" w:type="dxa"/>
              <w:bottom w:w="150" w:type="dxa"/>
              <w:right w:w="150" w:type="dxa"/>
            </w:tcMar>
            <w:hideMark/>
          </w:tcPr>
          <w:p w14:paraId="15D41C1A" w14:textId="77777777" w:rsidR="001B1CBE" w:rsidRPr="00F8778F" w:rsidRDefault="001B1CBE" w:rsidP="00213810">
            <w:r w:rsidRPr="00F8778F">
              <w:t>13.7%</w:t>
            </w:r>
          </w:p>
        </w:tc>
        <w:tc>
          <w:tcPr>
            <w:tcW w:w="0" w:type="auto"/>
            <w:tcBorders>
              <w:bottom w:val="single" w:sz="6" w:space="0" w:color="B1B4B6"/>
            </w:tcBorders>
            <w:tcMar>
              <w:top w:w="150" w:type="dxa"/>
              <w:left w:w="150" w:type="dxa"/>
              <w:bottom w:w="150" w:type="dxa"/>
              <w:right w:w="150" w:type="dxa"/>
            </w:tcMar>
            <w:hideMark/>
          </w:tcPr>
          <w:p w14:paraId="0546C0E1" w14:textId="77777777" w:rsidR="001B1CBE" w:rsidRPr="00F8778F" w:rsidRDefault="001B1CBE" w:rsidP="00213810">
            <w:r w:rsidRPr="00F8778F">
              <w:t>14.1%</w:t>
            </w:r>
          </w:p>
        </w:tc>
      </w:tr>
      <w:tr w:rsidR="001B1CBE" w:rsidRPr="00F8778F" w14:paraId="6968F280" w14:textId="77777777" w:rsidTr="00213810">
        <w:trPr>
          <w:tblCellSpacing w:w="15" w:type="dxa"/>
        </w:trPr>
        <w:tc>
          <w:tcPr>
            <w:tcW w:w="0" w:type="auto"/>
            <w:vMerge/>
            <w:tcBorders>
              <w:bottom w:val="single" w:sz="6" w:space="0" w:color="B1B4B6"/>
            </w:tcBorders>
            <w:vAlign w:val="center"/>
            <w:hideMark/>
          </w:tcPr>
          <w:p w14:paraId="7F011012"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66D28942" w14:textId="77777777" w:rsidR="001B1CBE" w:rsidRPr="00F8778F" w:rsidRDefault="001B1CBE" w:rsidP="00213810">
            <w:r w:rsidRPr="00F8778F">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35E89998" w14:textId="77777777" w:rsidR="001B1CBE" w:rsidRPr="00F8778F" w:rsidRDefault="001B1CBE" w:rsidP="00213810">
            <w:r w:rsidRPr="00F8778F">
              <w:t>13.8%</w:t>
            </w:r>
          </w:p>
        </w:tc>
        <w:tc>
          <w:tcPr>
            <w:tcW w:w="0" w:type="auto"/>
            <w:tcBorders>
              <w:bottom w:val="single" w:sz="6" w:space="0" w:color="B1B4B6"/>
            </w:tcBorders>
            <w:tcMar>
              <w:top w:w="150" w:type="dxa"/>
              <w:left w:w="150" w:type="dxa"/>
              <w:bottom w:w="150" w:type="dxa"/>
              <w:right w:w="150" w:type="dxa"/>
            </w:tcMar>
            <w:hideMark/>
          </w:tcPr>
          <w:p w14:paraId="37593649" w14:textId="77777777" w:rsidR="001B1CBE" w:rsidRPr="00F8778F" w:rsidRDefault="001B1CBE" w:rsidP="00213810">
            <w:r w:rsidRPr="00F8778F">
              <w:t>16.8%</w:t>
            </w:r>
          </w:p>
        </w:tc>
        <w:tc>
          <w:tcPr>
            <w:tcW w:w="0" w:type="auto"/>
            <w:tcBorders>
              <w:bottom w:val="single" w:sz="6" w:space="0" w:color="B1B4B6"/>
            </w:tcBorders>
            <w:tcMar>
              <w:top w:w="150" w:type="dxa"/>
              <w:left w:w="150" w:type="dxa"/>
              <w:bottom w:w="150" w:type="dxa"/>
              <w:right w:w="150" w:type="dxa"/>
            </w:tcMar>
            <w:hideMark/>
          </w:tcPr>
          <w:p w14:paraId="74844EBB" w14:textId="77777777" w:rsidR="001B1CBE" w:rsidRPr="00F8778F" w:rsidRDefault="001B1CBE" w:rsidP="00213810">
            <w:r w:rsidRPr="00F8778F">
              <w:t>18.3%</w:t>
            </w:r>
          </w:p>
        </w:tc>
        <w:tc>
          <w:tcPr>
            <w:tcW w:w="0" w:type="auto"/>
            <w:tcBorders>
              <w:bottom w:val="single" w:sz="6" w:space="0" w:color="B1B4B6"/>
            </w:tcBorders>
            <w:tcMar>
              <w:top w:w="150" w:type="dxa"/>
              <w:left w:w="150" w:type="dxa"/>
              <w:bottom w:w="150" w:type="dxa"/>
              <w:right w:w="150" w:type="dxa"/>
            </w:tcMar>
            <w:hideMark/>
          </w:tcPr>
          <w:p w14:paraId="12CD4F54" w14:textId="77777777" w:rsidR="001B1CBE" w:rsidRPr="00F8778F" w:rsidRDefault="001B1CBE" w:rsidP="00213810">
            <w:r w:rsidRPr="00F8778F">
              <w:t>18.2%</w:t>
            </w:r>
          </w:p>
        </w:tc>
      </w:tr>
      <w:tr w:rsidR="001B1CBE" w:rsidRPr="00F8778F" w14:paraId="0CAD9661" w14:textId="77777777" w:rsidTr="00213810">
        <w:trPr>
          <w:tblCellSpacing w:w="15" w:type="dxa"/>
        </w:trPr>
        <w:tc>
          <w:tcPr>
            <w:tcW w:w="0" w:type="auto"/>
            <w:vMerge/>
            <w:tcBorders>
              <w:bottom w:val="single" w:sz="6" w:space="0" w:color="B1B4B6"/>
            </w:tcBorders>
            <w:vAlign w:val="center"/>
            <w:hideMark/>
          </w:tcPr>
          <w:p w14:paraId="7A2C000C"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50ACD9D" w14:textId="77777777" w:rsidR="001B1CBE" w:rsidRPr="00F8778F" w:rsidRDefault="001B1CBE" w:rsidP="00213810">
            <w:r w:rsidRPr="00F8778F">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0A7EC041" w14:textId="77777777" w:rsidR="001B1CBE" w:rsidRPr="00F8778F" w:rsidRDefault="001B1CBE" w:rsidP="00213810">
            <w:r w:rsidRPr="00F8778F">
              <w:t>27.6</w:t>
            </w:r>
          </w:p>
        </w:tc>
        <w:tc>
          <w:tcPr>
            <w:tcW w:w="0" w:type="auto"/>
            <w:tcBorders>
              <w:bottom w:val="single" w:sz="6" w:space="0" w:color="B1B4B6"/>
            </w:tcBorders>
            <w:tcMar>
              <w:top w:w="150" w:type="dxa"/>
              <w:left w:w="150" w:type="dxa"/>
              <w:bottom w:w="150" w:type="dxa"/>
              <w:right w:w="150" w:type="dxa"/>
            </w:tcMar>
            <w:hideMark/>
          </w:tcPr>
          <w:p w14:paraId="3BA22447" w14:textId="77777777" w:rsidR="001B1CBE" w:rsidRPr="00F8778F" w:rsidRDefault="001B1CBE" w:rsidP="00213810">
            <w:r w:rsidRPr="00F8778F">
              <w:t>30.7</w:t>
            </w:r>
          </w:p>
        </w:tc>
        <w:tc>
          <w:tcPr>
            <w:tcW w:w="0" w:type="auto"/>
            <w:tcBorders>
              <w:bottom w:val="single" w:sz="6" w:space="0" w:color="B1B4B6"/>
            </w:tcBorders>
            <w:tcMar>
              <w:top w:w="150" w:type="dxa"/>
              <w:left w:w="150" w:type="dxa"/>
              <w:bottom w:w="150" w:type="dxa"/>
              <w:right w:w="150" w:type="dxa"/>
            </w:tcMar>
            <w:hideMark/>
          </w:tcPr>
          <w:p w14:paraId="56568724" w14:textId="77777777" w:rsidR="001B1CBE" w:rsidRPr="00F8778F" w:rsidRDefault="001B1CBE" w:rsidP="00213810">
            <w:r w:rsidRPr="00F8778F">
              <w:t>31.1</w:t>
            </w:r>
          </w:p>
        </w:tc>
        <w:tc>
          <w:tcPr>
            <w:tcW w:w="0" w:type="auto"/>
            <w:tcBorders>
              <w:bottom w:val="single" w:sz="6" w:space="0" w:color="B1B4B6"/>
            </w:tcBorders>
            <w:tcMar>
              <w:top w:w="150" w:type="dxa"/>
              <w:left w:w="150" w:type="dxa"/>
              <w:bottom w:w="150" w:type="dxa"/>
              <w:right w:w="150" w:type="dxa"/>
            </w:tcMar>
            <w:hideMark/>
          </w:tcPr>
          <w:p w14:paraId="508B57A1" w14:textId="77777777" w:rsidR="001B1CBE" w:rsidRPr="00F8778F" w:rsidRDefault="001B1CBE" w:rsidP="00213810">
            <w:r w:rsidRPr="00F8778F">
              <w:t>29.3</w:t>
            </w:r>
          </w:p>
        </w:tc>
      </w:tr>
      <w:tr w:rsidR="001B1CBE" w:rsidRPr="00F8778F" w14:paraId="34BEA597" w14:textId="77777777" w:rsidTr="00213810">
        <w:trPr>
          <w:tblCellSpacing w:w="15" w:type="dxa"/>
        </w:trPr>
        <w:tc>
          <w:tcPr>
            <w:tcW w:w="0" w:type="auto"/>
            <w:vMerge/>
            <w:tcBorders>
              <w:bottom w:val="single" w:sz="6" w:space="0" w:color="B1B4B6"/>
            </w:tcBorders>
            <w:vAlign w:val="center"/>
            <w:hideMark/>
          </w:tcPr>
          <w:p w14:paraId="7A6EC760"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6E39A4D" w14:textId="77777777" w:rsidR="001B1CBE" w:rsidRPr="00F8778F" w:rsidRDefault="001B1CBE" w:rsidP="00213810">
            <w:r w:rsidRPr="00F8778F">
              <w:t>Average EBacc APS score per pupil</w:t>
            </w:r>
          </w:p>
        </w:tc>
        <w:tc>
          <w:tcPr>
            <w:tcW w:w="0" w:type="auto"/>
            <w:tcBorders>
              <w:bottom w:val="single" w:sz="6" w:space="0" w:color="B1B4B6"/>
            </w:tcBorders>
            <w:tcMar>
              <w:top w:w="150" w:type="dxa"/>
              <w:left w:w="150" w:type="dxa"/>
              <w:bottom w:w="150" w:type="dxa"/>
              <w:right w:w="150" w:type="dxa"/>
            </w:tcMar>
            <w:hideMark/>
          </w:tcPr>
          <w:p w14:paraId="64A32927" w14:textId="77777777" w:rsidR="001B1CBE" w:rsidRPr="00F8778F" w:rsidRDefault="001B1CBE" w:rsidP="00213810">
            <w:r w:rsidRPr="00F8778F">
              <w:t>2.24</w:t>
            </w:r>
          </w:p>
        </w:tc>
        <w:tc>
          <w:tcPr>
            <w:tcW w:w="0" w:type="auto"/>
            <w:tcBorders>
              <w:bottom w:val="single" w:sz="6" w:space="0" w:color="B1B4B6"/>
            </w:tcBorders>
            <w:tcMar>
              <w:top w:w="150" w:type="dxa"/>
              <w:left w:w="150" w:type="dxa"/>
              <w:bottom w:w="150" w:type="dxa"/>
              <w:right w:w="150" w:type="dxa"/>
            </w:tcMar>
            <w:hideMark/>
          </w:tcPr>
          <w:p w14:paraId="626EAB50" w14:textId="77777777" w:rsidR="001B1CBE" w:rsidRPr="00F8778F" w:rsidRDefault="001B1CBE" w:rsidP="00213810">
            <w:r w:rsidRPr="00F8778F">
              <w:t>2.49</w:t>
            </w:r>
          </w:p>
        </w:tc>
        <w:tc>
          <w:tcPr>
            <w:tcW w:w="0" w:type="auto"/>
            <w:tcBorders>
              <w:bottom w:val="single" w:sz="6" w:space="0" w:color="B1B4B6"/>
            </w:tcBorders>
            <w:tcMar>
              <w:top w:w="150" w:type="dxa"/>
              <w:left w:w="150" w:type="dxa"/>
              <w:bottom w:w="150" w:type="dxa"/>
              <w:right w:w="150" w:type="dxa"/>
            </w:tcMar>
            <w:hideMark/>
          </w:tcPr>
          <w:p w14:paraId="4AAEF65A" w14:textId="77777777" w:rsidR="001B1CBE" w:rsidRPr="00F8778F" w:rsidRDefault="001B1CBE" w:rsidP="00213810">
            <w:r w:rsidRPr="00F8778F">
              <w:t>2.53</w:t>
            </w:r>
          </w:p>
        </w:tc>
        <w:tc>
          <w:tcPr>
            <w:tcW w:w="0" w:type="auto"/>
            <w:tcBorders>
              <w:bottom w:val="single" w:sz="6" w:space="0" w:color="B1B4B6"/>
            </w:tcBorders>
            <w:tcMar>
              <w:top w:w="150" w:type="dxa"/>
              <w:left w:w="150" w:type="dxa"/>
              <w:bottom w:w="150" w:type="dxa"/>
              <w:right w:w="150" w:type="dxa"/>
            </w:tcMar>
            <w:hideMark/>
          </w:tcPr>
          <w:p w14:paraId="352DAFD1" w14:textId="77777777" w:rsidR="001B1CBE" w:rsidRPr="00F8778F" w:rsidRDefault="001B1CBE" w:rsidP="00213810">
            <w:r w:rsidRPr="00F8778F">
              <w:t>2.42</w:t>
            </w:r>
          </w:p>
        </w:tc>
      </w:tr>
      <w:tr w:rsidR="001B1CBE" w:rsidRPr="00F8778F" w14:paraId="3A27C336"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10E36255" w14:textId="77777777" w:rsidR="001B1CBE" w:rsidRPr="00F8778F" w:rsidRDefault="001B1CBE" w:rsidP="00213810">
            <w:r w:rsidRPr="00F8778F">
              <w:t>No identified SEN</w:t>
            </w:r>
          </w:p>
        </w:tc>
        <w:tc>
          <w:tcPr>
            <w:tcW w:w="0" w:type="auto"/>
            <w:tcBorders>
              <w:bottom w:val="single" w:sz="6" w:space="0" w:color="B1B4B6"/>
            </w:tcBorders>
            <w:shd w:val="clear" w:color="auto" w:fill="FFFFFF"/>
            <w:tcMar>
              <w:top w:w="150" w:type="dxa"/>
              <w:left w:w="0" w:type="dxa"/>
              <w:bottom w:w="150" w:type="dxa"/>
              <w:right w:w="300" w:type="dxa"/>
            </w:tcMar>
            <w:hideMark/>
          </w:tcPr>
          <w:p w14:paraId="7E400D80" w14:textId="77777777" w:rsidR="001B1CBE" w:rsidRPr="00F8778F" w:rsidRDefault="001B1CBE" w:rsidP="00213810">
            <w:r w:rsidRPr="00F8778F">
              <w:t>Total number of pupils at the end of key stage 4</w:t>
            </w:r>
          </w:p>
        </w:tc>
        <w:tc>
          <w:tcPr>
            <w:tcW w:w="0" w:type="auto"/>
            <w:tcBorders>
              <w:bottom w:val="single" w:sz="6" w:space="0" w:color="B1B4B6"/>
            </w:tcBorders>
            <w:tcMar>
              <w:top w:w="150" w:type="dxa"/>
              <w:left w:w="150" w:type="dxa"/>
              <w:bottom w:w="150" w:type="dxa"/>
              <w:right w:w="150" w:type="dxa"/>
            </w:tcMar>
            <w:hideMark/>
          </w:tcPr>
          <w:p w14:paraId="7A52D14C" w14:textId="77777777" w:rsidR="001B1CBE" w:rsidRPr="00F8778F" w:rsidRDefault="001B1CBE" w:rsidP="00213810">
            <w:r w:rsidRPr="00F8778F">
              <w:t>464,515</w:t>
            </w:r>
          </w:p>
        </w:tc>
        <w:tc>
          <w:tcPr>
            <w:tcW w:w="0" w:type="auto"/>
            <w:tcBorders>
              <w:bottom w:val="single" w:sz="6" w:space="0" w:color="B1B4B6"/>
            </w:tcBorders>
            <w:tcMar>
              <w:top w:w="150" w:type="dxa"/>
              <w:left w:w="150" w:type="dxa"/>
              <w:bottom w:w="150" w:type="dxa"/>
              <w:right w:w="150" w:type="dxa"/>
            </w:tcMar>
            <w:hideMark/>
          </w:tcPr>
          <w:p w14:paraId="56343CBB" w14:textId="77777777" w:rsidR="001B1CBE" w:rsidRPr="00F8778F" w:rsidRDefault="001B1CBE" w:rsidP="00213810">
            <w:r w:rsidRPr="00F8778F">
              <w:t>477,952</w:t>
            </w:r>
          </w:p>
        </w:tc>
        <w:tc>
          <w:tcPr>
            <w:tcW w:w="0" w:type="auto"/>
            <w:tcBorders>
              <w:bottom w:val="single" w:sz="6" w:space="0" w:color="B1B4B6"/>
            </w:tcBorders>
            <w:tcMar>
              <w:top w:w="150" w:type="dxa"/>
              <w:left w:w="150" w:type="dxa"/>
              <w:bottom w:w="150" w:type="dxa"/>
              <w:right w:w="150" w:type="dxa"/>
            </w:tcMar>
            <w:hideMark/>
          </w:tcPr>
          <w:p w14:paraId="2D0AAFF8" w14:textId="77777777" w:rsidR="001B1CBE" w:rsidRPr="00F8778F" w:rsidRDefault="001B1CBE" w:rsidP="00213810">
            <w:r w:rsidRPr="00F8778F">
              <w:t>487,466</w:t>
            </w:r>
          </w:p>
        </w:tc>
        <w:tc>
          <w:tcPr>
            <w:tcW w:w="0" w:type="auto"/>
            <w:tcBorders>
              <w:bottom w:val="single" w:sz="6" w:space="0" w:color="B1B4B6"/>
            </w:tcBorders>
            <w:tcMar>
              <w:top w:w="150" w:type="dxa"/>
              <w:left w:w="150" w:type="dxa"/>
              <w:bottom w:w="150" w:type="dxa"/>
              <w:right w:w="150" w:type="dxa"/>
            </w:tcMar>
            <w:hideMark/>
          </w:tcPr>
          <w:p w14:paraId="0E0D955D" w14:textId="77777777" w:rsidR="001B1CBE" w:rsidRPr="00F8778F" w:rsidRDefault="001B1CBE" w:rsidP="00213810">
            <w:r w:rsidRPr="00F8778F">
              <w:t>493,933</w:t>
            </w:r>
          </w:p>
        </w:tc>
      </w:tr>
      <w:tr w:rsidR="001B1CBE" w:rsidRPr="00F8778F" w14:paraId="26687EFB" w14:textId="77777777" w:rsidTr="00213810">
        <w:trPr>
          <w:tblCellSpacing w:w="15" w:type="dxa"/>
        </w:trPr>
        <w:tc>
          <w:tcPr>
            <w:tcW w:w="0" w:type="auto"/>
            <w:vMerge/>
            <w:tcBorders>
              <w:bottom w:val="single" w:sz="6" w:space="0" w:color="B1B4B6"/>
            </w:tcBorders>
            <w:vAlign w:val="center"/>
            <w:hideMark/>
          </w:tcPr>
          <w:p w14:paraId="2278D1D3"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10165203" w14:textId="77777777" w:rsidR="001B1CBE" w:rsidRPr="00F8778F" w:rsidRDefault="001B1CBE" w:rsidP="00213810">
            <w:r w:rsidRPr="00F8778F">
              <w:t>Percentage of pupils entering the English Baccalaureate</w:t>
            </w:r>
          </w:p>
        </w:tc>
        <w:tc>
          <w:tcPr>
            <w:tcW w:w="0" w:type="auto"/>
            <w:tcBorders>
              <w:bottom w:val="single" w:sz="6" w:space="0" w:color="B1B4B6"/>
            </w:tcBorders>
            <w:tcMar>
              <w:top w:w="150" w:type="dxa"/>
              <w:left w:w="150" w:type="dxa"/>
              <w:bottom w:w="150" w:type="dxa"/>
              <w:right w:w="150" w:type="dxa"/>
            </w:tcMar>
            <w:hideMark/>
          </w:tcPr>
          <w:p w14:paraId="43550612" w14:textId="77777777" w:rsidR="001B1CBE" w:rsidRPr="00F8778F" w:rsidRDefault="001B1CBE" w:rsidP="00213810">
            <w:r w:rsidRPr="00F8778F">
              <w:t>44.5%</w:t>
            </w:r>
          </w:p>
        </w:tc>
        <w:tc>
          <w:tcPr>
            <w:tcW w:w="0" w:type="auto"/>
            <w:tcBorders>
              <w:bottom w:val="single" w:sz="6" w:space="0" w:color="B1B4B6"/>
            </w:tcBorders>
            <w:tcMar>
              <w:top w:w="150" w:type="dxa"/>
              <w:left w:w="150" w:type="dxa"/>
              <w:bottom w:w="150" w:type="dxa"/>
              <w:right w:w="150" w:type="dxa"/>
            </w:tcMar>
            <w:hideMark/>
          </w:tcPr>
          <w:p w14:paraId="2FD6B73B" w14:textId="77777777" w:rsidR="001B1CBE" w:rsidRPr="00F8778F" w:rsidRDefault="001B1CBE" w:rsidP="00213810">
            <w:r w:rsidRPr="00F8778F">
              <w:t>44.4%</w:t>
            </w:r>
          </w:p>
        </w:tc>
        <w:tc>
          <w:tcPr>
            <w:tcW w:w="0" w:type="auto"/>
            <w:tcBorders>
              <w:bottom w:val="single" w:sz="6" w:space="0" w:color="B1B4B6"/>
            </w:tcBorders>
            <w:tcMar>
              <w:top w:w="150" w:type="dxa"/>
              <w:left w:w="150" w:type="dxa"/>
              <w:bottom w:w="150" w:type="dxa"/>
              <w:right w:w="150" w:type="dxa"/>
            </w:tcMar>
            <w:hideMark/>
          </w:tcPr>
          <w:p w14:paraId="5B403257" w14:textId="77777777" w:rsidR="001B1CBE" w:rsidRPr="00F8778F" w:rsidRDefault="001B1CBE" w:rsidP="00213810">
            <w:r w:rsidRPr="00F8778F">
              <w:t>43.3%</w:t>
            </w:r>
          </w:p>
        </w:tc>
        <w:tc>
          <w:tcPr>
            <w:tcW w:w="0" w:type="auto"/>
            <w:tcBorders>
              <w:bottom w:val="single" w:sz="6" w:space="0" w:color="B1B4B6"/>
            </w:tcBorders>
            <w:tcMar>
              <w:top w:w="150" w:type="dxa"/>
              <w:left w:w="150" w:type="dxa"/>
              <w:bottom w:w="150" w:type="dxa"/>
              <w:right w:w="150" w:type="dxa"/>
            </w:tcMar>
            <w:hideMark/>
          </w:tcPr>
          <w:p w14:paraId="48D820A0" w14:textId="77777777" w:rsidR="001B1CBE" w:rsidRPr="00F8778F" w:rsidRDefault="001B1CBE" w:rsidP="00213810">
            <w:r w:rsidRPr="00F8778F">
              <w:t>43.4%</w:t>
            </w:r>
          </w:p>
        </w:tc>
      </w:tr>
      <w:tr w:rsidR="001B1CBE" w:rsidRPr="00F8778F" w14:paraId="60CE153C" w14:textId="77777777" w:rsidTr="00213810">
        <w:trPr>
          <w:tblCellSpacing w:w="15" w:type="dxa"/>
        </w:trPr>
        <w:tc>
          <w:tcPr>
            <w:tcW w:w="0" w:type="auto"/>
            <w:vMerge/>
            <w:tcBorders>
              <w:bottom w:val="single" w:sz="6" w:space="0" w:color="B1B4B6"/>
            </w:tcBorders>
            <w:vAlign w:val="center"/>
            <w:hideMark/>
          </w:tcPr>
          <w:p w14:paraId="11DC2965"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462CC2BC" w14:textId="77777777" w:rsidR="001B1CBE" w:rsidRPr="00F8778F" w:rsidRDefault="001B1CBE" w:rsidP="00213810">
            <w:r w:rsidRPr="00F8778F">
              <w:t>Percentage of pupils achieving grades 5 or above in English and mathematics GCSEs</w:t>
            </w:r>
          </w:p>
        </w:tc>
        <w:tc>
          <w:tcPr>
            <w:tcW w:w="0" w:type="auto"/>
            <w:tcBorders>
              <w:bottom w:val="single" w:sz="6" w:space="0" w:color="B1B4B6"/>
            </w:tcBorders>
            <w:tcMar>
              <w:top w:w="150" w:type="dxa"/>
              <w:left w:w="150" w:type="dxa"/>
              <w:bottom w:w="150" w:type="dxa"/>
              <w:right w:w="150" w:type="dxa"/>
            </w:tcMar>
            <w:hideMark/>
          </w:tcPr>
          <w:p w14:paraId="3E37853B" w14:textId="77777777" w:rsidR="001B1CBE" w:rsidRPr="00F8778F" w:rsidRDefault="001B1CBE" w:rsidP="00213810">
            <w:r w:rsidRPr="00F8778F">
              <w:t>48.2%</w:t>
            </w:r>
          </w:p>
        </w:tc>
        <w:tc>
          <w:tcPr>
            <w:tcW w:w="0" w:type="auto"/>
            <w:tcBorders>
              <w:bottom w:val="single" w:sz="6" w:space="0" w:color="B1B4B6"/>
            </w:tcBorders>
            <w:tcMar>
              <w:top w:w="150" w:type="dxa"/>
              <w:left w:w="150" w:type="dxa"/>
              <w:bottom w:w="150" w:type="dxa"/>
              <w:right w:w="150" w:type="dxa"/>
            </w:tcMar>
            <w:hideMark/>
          </w:tcPr>
          <w:p w14:paraId="72FF0797" w14:textId="77777777" w:rsidR="001B1CBE" w:rsidRPr="00F8778F" w:rsidRDefault="001B1CBE" w:rsidP="00213810">
            <w:r w:rsidRPr="00F8778F">
              <w:t>55.8%</w:t>
            </w:r>
          </w:p>
        </w:tc>
        <w:tc>
          <w:tcPr>
            <w:tcW w:w="0" w:type="auto"/>
            <w:tcBorders>
              <w:bottom w:val="single" w:sz="6" w:space="0" w:color="B1B4B6"/>
            </w:tcBorders>
            <w:tcMar>
              <w:top w:w="150" w:type="dxa"/>
              <w:left w:w="150" w:type="dxa"/>
              <w:bottom w:w="150" w:type="dxa"/>
              <w:right w:w="150" w:type="dxa"/>
            </w:tcMar>
            <w:hideMark/>
          </w:tcPr>
          <w:p w14:paraId="3CD31FEB" w14:textId="77777777" w:rsidR="001B1CBE" w:rsidRPr="00F8778F" w:rsidRDefault="001B1CBE" w:rsidP="00213810">
            <w:r w:rsidRPr="00F8778F">
              <w:t>58.0%</w:t>
            </w:r>
          </w:p>
        </w:tc>
        <w:tc>
          <w:tcPr>
            <w:tcW w:w="0" w:type="auto"/>
            <w:tcBorders>
              <w:bottom w:val="single" w:sz="6" w:space="0" w:color="B1B4B6"/>
            </w:tcBorders>
            <w:tcMar>
              <w:top w:w="150" w:type="dxa"/>
              <w:left w:w="150" w:type="dxa"/>
              <w:bottom w:w="150" w:type="dxa"/>
              <w:right w:w="150" w:type="dxa"/>
            </w:tcMar>
            <w:hideMark/>
          </w:tcPr>
          <w:p w14:paraId="0A7C6226" w14:textId="77777777" w:rsidR="001B1CBE" w:rsidRPr="00F8778F" w:rsidRDefault="001B1CBE" w:rsidP="00213810">
            <w:r w:rsidRPr="00F8778F">
              <w:t>55.6%</w:t>
            </w:r>
          </w:p>
        </w:tc>
      </w:tr>
      <w:tr w:rsidR="001B1CBE" w:rsidRPr="00F8778F" w14:paraId="3004FD08" w14:textId="77777777" w:rsidTr="00213810">
        <w:trPr>
          <w:tblCellSpacing w:w="15" w:type="dxa"/>
        </w:trPr>
        <w:tc>
          <w:tcPr>
            <w:tcW w:w="0" w:type="auto"/>
            <w:vMerge/>
            <w:tcBorders>
              <w:bottom w:val="single" w:sz="6" w:space="0" w:color="B1B4B6"/>
            </w:tcBorders>
            <w:vAlign w:val="center"/>
            <w:hideMark/>
          </w:tcPr>
          <w:p w14:paraId="5D1178EF"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02595660" w14:textId="77777777" w:rsidR="001B1CBE" w:rsidRPr="00F8778F" w:rsidRDefault="001B1CBE" w:rsidP="00213810">
            <w:r w:rsidRPr="00F8778F">
              <w:t>Average Attainment 8 score of all pupils</w:t>
            </w:r>
          </w:p>
        </w:tc>
        <w:tc>
          <w:tcPr>
            <w:tcW w:w="0" w:type="auto"/>
            <w:tcBorders>
              <w:bottom w:val="single" w:sz="6" w:space="0" w:color="B1B4B6"/>
            </w:tcBorders>
            <w:tcMar>
              <w:top w:w="150" w:type="dxa"/>
              <w:left w:w="150" w:type="dxa"/>
              <w:bottom w:w="150" w:type="dxa"/>
              <w:right w:w="150" w:type="dxa"/>
            </w:tcMar>
            <w:hideMark/>
          </w:tcPr>
          <w:p w14:paraId="3853436B" w14:textId="77777777" w:rsidR="001B1CBE" w:rsidRPr="00F8778F" w:rsidRDefault="001B1CBE" w:rsidP="00213810">
            <w:r w:rsidRPr="00F8778F">
              <w:t>49.9</w:t>
            </w:r>
          </w:p>
        </w:tc>
        <w:tc>
          <w:tcPr>
            <w:tcW w:w="0" w:type="auto"/>
            <w:tcBorders>
              <w:bottom w:val="single" w:sz="6" w:space="0" w:color="B1B4B6"/>
            </w:tcBorders>
            <w:tcMar>
              <w:top w:w="150" w:type="dxa"/>
              <w:left w:w="150" w:type="dxa"/>
              <w:bottom w:w="150" w:type="dxa"/>
              <w:right w:w="150" w:type="dxa"/>
            </w:tcMar>
            <w:hideMark/>
          </w:tcPr>
          <w:p w14:paraId="6D4E2F98" w14:textId="77777777" w:rsidR="001B1CBE" w:rsidRPr="00F8778F" w:rsidRDefault="001B1CBE" w:rsidP="00213810">
            <w:r w:rsidRPr="00F8778F">
              <w:t>53.7</w:t>
            </w:r>
          </w:p>
        </w:tc>
        <w:tc>
          <w:tcPr>
            <w:tcW w:w="0" w:type="auto"/>
            <w:tcBorders>
              <w:bottom w:val="single" w:sz="6" w:space="0" w:color="B1B4B6"/>
            </w:tcBorders>
            <w:tcMar>
              <w:top w:w="150" w:type="dxa"/>
              <w:left w:w="150" w:type="dxa"/>
              <w:bottom w:w="150" w:type="dxa"/>
              <w:right w:w="150" w:type="dxa"/>
            </w:tcMar>
            <w:hideMark/>
          </w:tcPr>
          <w:p w14:paraId="6B84D540" w14:textId="77777777" w:rsidR="001B1CBE" w:rsidRPr="00F8778F" w:rsidRDefault="001B1CBE" w:rsidP="00213810">
            <w:r w:rsidRPr="00F8778F">
              <w:t>54.5</w:t>
            </w:r>
          </w:p>
        </w:tc>
        <w:tc>
          <w:tcPr>
            <w:tcW w:w="0" w:type="auto"/>
            <w:tcBorders>
              <w:bottom w:val="single" w:sz="6" w:space="0" w:color="B1B4B6"/>
            </w:tcBorders>
            <w:tcMar>
              <w:top w:w="150" w:type="dxa"/>
              <w:left w:w="150" w:type="dxa"/>
              <w:bottom w:w="150" w:type="dxa"/>
              <w:right w:w="150" w:type="dxa"/>
            </w:tcMar>
            <w:hideMark/>
          </w:tcPr>
          <w:p w14:paraId="61F5DBFA" w14:textId="77777777" w:rsidR="001B1CBE" w:rsidRPr="00F8778F" w:rsidRDefault="001B1CBE" w:rsidP="00213810">
            <w:r w:rsidRPr="00F8778F">
              <w:t>52.4</w:t>
            </w:r>
          </w:p>
        </w:tc>
      </w:tr>
      <w:tr w:rsidR="001B1CBE" w:rsidRPr="00F8778F" w14:paraId="20DC7721" w14:textId="77777777" w:rsidTr="00213810">
        <w:trPr>
          <w:tblCellSpacing w:w="15" w:type="dxa"/>
        </w:trPr>
        <w:tc>
          <w:tcPr>
            <w:tcW w:w="0" w:type="auto"/>
            <w:vMerge/>
            <w:tcBorders>
              <w:bottom w:val="single" w:sz="6" w:space="0" w:color="B1B4B6"/>
            </w:tcBorders>
            <w:vAlign w:val="center"/>
            <w:hideMark/>
          </w:tcPr>
          <w:p w14:paraId="4A6BF55F" w14:textId="77777777" w:rsidR="001B1CBE" w:rsidRPr="00F8778F" w:rsidRDefault="001B1CBE" w:rsidP="00213810"/>
        </w:tc>
        <w:tc>
          <w:tcPr>
            <w:tcW w:w="0" w:type="auto"/>
            <w:tcBorders>
              <w:bottom w:val="single" w:sz="6" w:space="0" w:color="B1B4B6"/>
            </w:tcBorders>
            <w:shd w:val="clear" w:color="auto" w:fill="FFFFFF"/>
            <w:tcMar>
              <w:top w:w="150" w:type="dxa"/>
              <w:left w:w="0" w:type="dxa"/>
              <w:bottom w:w="150" w:type="dxa"/>
              <w:right w:w="300" w:type="dxa"/>
            </w:tcMar>
            <w:hideMark/>
          </w:tcPr>
          <w:p w14:paraId="2AB112B5" w14:textId="77777777" w:rsidR="001B1CBE" w:rsidRPr="00F8778F" w:rsidRDefault="001B1CBE" w:rsidP="00213810">
            <w:r w:rsidRPr="00F8778F">
              <w:t>Average EBacc APS score per pupil</w:t>
            </w:r>
          </w:p>
        </w:tc>
        <w:tc>
          <w:tcPr>
            <w:tcW w:w="0" w:type="auto"/>
            <w:tcBorders>
              <w:bottom w:val="single" w:sz="6" w:space="0" w:color="B1B4B6"/>
            </w:tcBorders>
            <w:tcMar>
              <w:top w:w="150" w:type="dxa"/>
              <w:left w:w="150" w:type="dxa"/>
              <w:bottom w:w="150" w:type="dxa"/>
              <w:right w:w="150" w:type="dxa"/>
            </w:tcMar>
            <w:hideMark/>
          </w:tcPr>
          <w:p w14:paraId="66277162" w14:textId="77777777" w:rsidR="001B1CBE" w:rsidRPr="00F8778F" w:rsidRDefault="001B1CBE" w:rsidP="00213810">
            <w:r w:rsidRPr="00F8778F">
              <w:t>4.39</w:t>
            </w:r>
          </w:p>
        </w:tc>
        <w:tc>
          <w:tcPr>
            <w:tcW w:w="0" w:type="auto"/>
            <w:tcBorders>
              <w:bottom w:val="single" w:sz="6" w:space="0" w:color="B1B4B6"/>
            </w:tcBorders>
            <w:tcMar>
              <w:top w:w="150" w:type="dxa"/>
              <w:left w:w="150" w:type="dxa"/>
              <w:bottom w:w="150" w:type="dxa"/>
              <w:right w:w="150" w:type="dxa"/>
            </w:tcMar>
            <w:hideMark/>
          </w:tcPr>
          <w:p w14:paraId="1235AF52" w14:textId="77777777" w:rsidR="001B1CBE" w:rsidRPr="00F8778F" w:rsidRDefault="001B1CBE" w:rsidP="00213810">
            <w:r w:rsidRPr="00F8778F">
              <w:t>4.72</w:t>
            </w:r>
          </w:p>
        </w:tc>
        <w:tc>
          <w:tcPr>
            <w:tcW w:w="0" w:type="auto"/>
            <w:tcBorders>
              <w:bottom w:val="single" w:sz="6" w:space="0" w:color="B1B4B6"/>
            </w:tcBorders>
            <w:tcMar>
              <w:top w:w="150" w:type="dxa"/>
              <w:left w:w="150" w:type="dxa"/>
              <w:bottom w:w="150" w:type="dxa"/>
              <w:right w:w="150" w:type="dxa"/>
            </w:tcMar>
            <w:hideMark/>
          </w:tcPr>
          <w:p w14:paraId="309393CA" w14:textId="77777777" w:rsidR="001B1CBE" w:rsidRPr="00F8778F" w:rsidRDefault="001B1CBE" w:rsidP="00213810">
            <w:r w:rsidRPr="00F8778F">
              <w:t>4.80</w:t>
            </w:r>
          </w:p>
        </w:tc>
        <w:tc>
          <w:tcPr>
            <w:tcW w:w="0" w:type="auto"/>
            <w:tcBorders>
              <w:bottom w:val="single" w:sz="6" w:space="0" w:color="B1B4B6"/>
            </w:tcBorders>
            <w:tcMar>
              <w:top w:w="150" w:type="dxa"/>
              <w:left w:w="150" w:type="dxa"/>
              <w:bottom w:w="150" w:type="dxa"/>
              <w:right w:w="150" w:type="dxa"/>
            </w:tcMar>
            <w:hideMark/>
          </w:tcPr>
          <w:p w14:paraId="28996C4C" w14:textId="77777777" w:rsidR="001B1CBE" w:rsidRPr="00F8778F" w:rsidRDefault="001B1CBE" w:rsidP="00213810">
            <w:r w:rsidRPr="00F8778F">
              <w:t>4.62</w:t>
            </w:r>
          </w:p>
        </w:tc>
      </w:tr>
    </w:tbl>
    <w:p w14:paraId="44D2E675" w14:textId="77777777" w:rsidR="001B1CBE" w:rsidRDefault="001B1CBE" w:rsidP="001B1CBE"/>
    <w:p w14:paraId="69DFFC8E" w14:textId="77777777" w:rsidR="001B1CBE" w:rsidRDefault="001B1CBE" w:rsidP="001B1CBE"/>
    <w:p w14:paraId="50E8BC8F" w14:textId="77777777" w:rsidR="001B1CBE" w:rsidRPr="00C72932" w:rsidRDefault="001B1CBE" w:rsidP="001B1CBE">
      <w:pPr>
        <w:spacing w:after="0"/>
        <w:rPr>
          <w:rFonts w:eastAsia="Times New Roman"/>
          <w:b/>
          <w:bCs/>
        </w:rPr>
      </w:pPr>
      <w:r w:rsidRPr="00C72932">
        <w:rPr>
          <w:rFonts w:eastAsia="Times New Roman"/>
          <w:b/>
          <w:bCs/>
        </w:rPr>
        <w:t>Attainment by ethnicity for pupils in state-funded schools in England, 2018/19 – 2021/22</w:t>
      </w:r>
    </w:p>
    <w:tbl>
      <w:tblPr>
        <w:tblW w:w="13218" w:type="dxa"/>
        <w:tblCellSpacing w:w="15" w:type="dxa"/>
        <w:tblCellMar>
          <w:top w:w="15" w:type="dxa"/>
          <w:left w:w="15" w:type="dxa"/>
          <w:bottom w:w="15" w:type="dxa"/>
          <w:right w:w="15" w:type="dxa"/>
        </w:tblCellMar>
        <w:tblLook w:val="04A0" w:firstRow="1" w:lastRow="0" w:firstColumn="1" w:lastColumn="0" w:noHBand="0" w:noVBand="1"/>
      </w:tblPr>
      <w:tblGrid>
        <w:gridCol w:w="2918"/>
        <w:gridCol w:w="1565"/>
        <w:gridCol w:w="1415"/>
        <w:gridCol w:w="1415"/>
        <w:gridCol w:w="1514"/>
        <w:gridCol w:w="1415"/>
        <w:gridCol w:w="1415"/>
        <w:gridCol w:w="1561"/>
      </w:tblGrid>
      <w:tr w:rsidR="001B1CBE" w:rsidRPr="00C72932" w14:paraId="59E62123" w14:textId="77777777" w:rsidTr="00213810">
        <w:trPr>
          <w:tblHeader/>
          <w:tblCellSpacing w:w="15" w:type="dxa"/>
        </w:trPr>
        <w:tc>
          <w:tcPr>
            <w:tcW w:w="0" w:type="auto"/>
            <w:gridSpan w:val="2"/>
            <w:tcBorders>
              <w:bottom w:val="single" w:sz="6" w:space="0" w:color="B1B4B6"/>
            </w:tcBorders>
            <w:shd w:val="clear" w:color="auto" w:fill="FFFFFF"/>
            <w:tcMar>
              <w:top w:w="150" w:type="dxa"/>
              <w:left w:w="0" w:type="dxa"/>
              <w:bottom w:w="150" w:type="dxa"/>
              <w:right w:w="300" w:type="dxa"/>
            </w:tcMar>
            <w:hideMark/>
          </w:tcPr>
          <w:p w14:paraId="0B96A626" w14:textId="77777777" w:rsidR="001B1CBE" w:rsidRPr="00C72932" w:rsidRDefault="001B1CBE" w:rsidP="00213810">
            <w:pPr>
              <w:spacing w:after="0"/>
              <w:rPr>
                <w:rFonts w:eastAsia="Times New Roman"/>
              </w:rPr>
            </w:pP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2D70BE5F" w14:textId="77777777" w:rsidR="001B1CBE" w:rsidRPr="00C72932" w:rsidRDefault="001B1CBE" w:rsidP="00213810">
            <w:pPr>
              <w:spacing w:after="450"/>
              <w:jc w:val="right"/>
              <w:rPr>
                <w:rFonts w:eastAsia="Times New Roman"/>
                <w:color w:val="0B0C0C"/>
              </w:rPr>
            </w:pPr>
            <w:r w:rsidRPr="00C72932">
              <w:rPr>
                <w:rFonts w:eastAsia="Times New Roman"/>
                <w:color w:val="0B0C0C"/>
              </w:rPr>
              <w:t>Asian</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59440FB0" w14:textId="77777777" w:rsidR="001B1CBE" w:rsidRPr="00C72932" w:rsidRDefault="001B1CBE" w:rsidP="00213810">
            <w:pPr>
              <w:spacing w:after="450"/>
              <w:jc w:val="right"/>
              <w:rPr>
                <w:rFonts w:eastAsia="Times New Roman"/>
                <w:color w:val="0B0C0C"/>
              </w:rPr>
            </w:pPr>
            <w:r w:rsidRPr="00C72932">
              <w:rPr>
                <w:rFonts w:eastAsia="Times New Roman"/>
                <w:color w:val="0B0C0C"/>
              </w:rPr>
              <w:t>Black</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231AB03A" w14:textId="77777777" w:rsidR="001B1CBE" w:rsidRPr="00C72932" w:rsidRDefault="001B1CBE" w:rsidP="00213810">
            <w:pPr>
              <w:spacing w:after="450"/>
              <w:jc w:val="right"/>
              <w:rPr>
                <w:rFonts w:eastAsia="Times New Roman"/>
                <w:color w:val="0B0C0C"/>
              </w:rPr>
            </w:pPr>
            <w:r w:rsidRPr="00C72932">
              <w:rPr>
                <w:rFonts w:eastAsia="Times New Roman"/>
                <w:color w:val="0B0C0C"/>
              </w:rPr>
              <w:t>Chinese</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51E75A04" w14:textId="77777777" w:rsidR="001B1CBE" w:rsidRPr="00C72932" w:rsidRDefault="001B1CBE" w:rsidP="00213810">
            <w:pPr>
              <w:spacing w:after="450"/>
              <w:jc w:val="right"/>
              <w:rPr>
                <w:rFonts w:eastAsia="Times New Roman"/>
                <w:color w:val="0B0C0C"/>
              </w:rPr>
            </w:pPr>
            <w:r w:rsidRPr="00C72932">
              <w:rPr>
                <w:rFonts w:eastAsia="Times New Roman"/>
                <w:color w:val="0B0C0C"/>
              </w:rPr>
              <w:t>Mixed</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33752717" w14:textId="77777777" w:rsidR="001B1CBE" w:rsidRPr="00C72932" w:rsidRDefault="001B1CBE" w:rsidP="00213810">
            <w:pPr>
              <w:spacing w:after="450"/>
              <w:jc w:val="right"/>
              <w:rPr>
                <w:rFonts w:eastAsia="Times New Roman"/>
                <w:color w:val="0B0C0C"/>
              </w:rPr>
            </w:pPr>
            <w:r w:rsidRPr="00C72932">
              <w:rPr>
                <w:rFonts w:eastAsia="Times New Roman"/>
                <w:color w:val="0B0C0C"/>
              </w:rPr>
              <w:t>Other</w:t>
            </w:r>
          </w:p>
        </w:tc>
        <w:tc>
          <w:tcPr>
            <w:tcW w:w="0" w:type="auto"/>
            <w:tcBorders>
              <w:bottom w:val="single" w:sz="6" w:space="0" w:color="B1B4B6"/>
              <w:right w:val="nil"/>
            </w:tcBorders>
            <w:shd w:val="clear" w:color="auto" w:fill="FFFFFF"/>
            <w:tcMar>
              <w:top w:w="150" w:type="dxa"/>
              <w:left w:w="150" w:type="dxa"/>
              <w:bottom w:w="150" w:type="dxa"/>
              <w:right w:w="150" w:type="dxa"/>
            </w:tcMar>
            <w:hideMark/>
          </w:tcPr>
          <w:p w14:paraId="30697CD1" w14:textId="77777777" w:rsidR="001B1CBE" w:rsidRPr="00C72932" w:rsidRDefault="001B1CBE" w:rsidP="00213810">
            <w:pPr>
              <w:spacing w:after="450"/>
              <w:jc w:val="right"/>
              <w:rPr>
                <w:rFonts w:eastAsia="Times New Roman"/>
                <w:color w:val="0B0C0C"/>
              </w:rPr>
            </w:pPr>
            <w:r w:rsidRPr="00C72932">
              <w:rPr>
                <w:rFonts w:eastAsia="Times New Roman"/>
                <w:color w:val="0B0C0C"/>
              </w:rPr>
              <w:t>White</w:t>
            </w:r>
          </w:p>
        </w:tc>
      </w:tr>
      <w:tr w:rsidR="001B1CBE" w:rsidRPr="00C72932" w14:paraId="4EDC57D4"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6C9212EE" w14:textId="77777777" w:rsidR="001B1CBE" w:rsidRPr="00C72932" w:rsidRDefault="001B1CBE" w:rsidP="00213810">
            <w:pPr>
              <w:spacing w:after="450"/>
              <w:rPr>
                <w:rFonts w:eastAsia="Times New Roman"/>
                <w:color w:val="0B0C0C"/>
              </w:rPr>
            </w:pPr>
            <w:r w:rsidRPr="00C72932">
              <w:rPr>
                <w:rFonts w:eastAsia="Times New Roman"/>
                <w:color w:val="0B0C0C"/>
              </w:rPr>
              <w:t>Total number of pupils at the end of key stage 4</w:t>
            </w:r>
          </w:p>
        </w:tc>
        <w:tc>
          <w:tcPr>
            <w:tcW w:w="0" w:type="auto"/>
            <w:tcBorders>
              <w:bottom w:val="single" w:sz="6" w:space="0" w:color="B1B4B6"/>
            </w:tcBorders>
            <w:shd w:val="clear" w:color="auto" w:fill="FFFFFF"/>
            <w:tcMar>
              <w:top w:w="150" w:type="dxa"/>
              <w:left w:w="0" w:type="dxa"/>
              <w:bottom w:w="150" w:type="dxa"/>
              <w:right w:w="300" w:type="dxa"/>
            </w:tcMar>
            <w:hideMark/>
          </w:tcPr>
          <w:p w14:paraId="3AED1EC9" w14:textId="77777777" w:rsidR="001B1CBE" w:rsidRPr="00C72932" w:rsidRDefault="001B1CBE" w:rsidP="00213810">
            <w:pPr>
              <w:spacing w:after="450"/>
              <w:rPr>
                <w:rFonts w:eastAsia="Times New Roman"/>
                <w:color w:val="0B0C0C"/>
              </w:rPr>
            </w:pPr>
            <w:r w:rsidRPr="00C72932">
              <w:rPr>
                <w:rFonts w:eastAsia="Times New Roman"/>
                <w:color w:val="0B0C0C"/>
              </w:rPr>
              <w:t>2018/19</w:t>
            </w:r>
          </w:p>
        </w:tc>
        <w:tc>
          <w:tcPr>
            <w:tcW w:w="0" w:type="auto"/>
            <w:tcBorders>
              <w:bottom w:val="single" w:sz="6" w:space="0" w:color="B1B4B6"/>
            </w:tcBorders>
            <w:tcMar>
              <w:top w:w="150" w:type="dxa"/>
              <w:left w:w="150" w:type="dxa"/>
              <w:bottom w:w="150" w:type="dxa"/>
              <w:right w:w="150" w:type="dxa"/>
            </w:tcMar>
            <w:hideMark/>
          </w:tcPr>
          <w:p w14:paraId="35C2D545" w14:textId="77777777" w:rsidR="001B1CBE" w:rsidRPr="00C72932" w:rsidRDefault="001B1CBE" w:rsidP="00213810">
            <w:pPr>
              <w:spacing w:after="450"/>
              <w:jc w:val="right"/>
              <w:rPr>
                <w:rFonts w:eastAsia="Times New Roman"/>
                <w:color w:val="0B0C0C"/>
              </w:rPr>
            </w:pPr>
            <w:r w:rsidRPr="00C72932">
              <w:rPr>
                <w:rFonts w:eastAsia="Times New Roman"/>
                <w:color w:val="0B0C0C"/>
              </w:rPr>
              <w:t>58,111</w:t>
            </w:r>
          </w:p>
        </w:tc>
        <w:tc>
          <w:tcPr>
            <w:tcW w:w="0" w:type="auto"/>
            <w:tcBorders>
              <w:bottom w:val="single" w:sz="6" w:space="0" w:color="B1B4B6"/>
            </w:tcBorders>
            <w:tcMar>
              <w:top w:w="150" w:type="dxa"/>
              <w:left w:w="150" w:type="dxa"/>
              <w:bottom w:w="150" w:type="dxa"/>
              <w:right w:w="150" w:type="dxa"/>
            </w:tcMar>
            <w:hideMark/>
          </w:tcPr>
          <w:p w14:paraId="0E7C8027" w14:textId="77777777" w:rsidR="001B1CBE" w:rsidRPr="00C72932" w:rsidRDefault="001B1CBE" w:rsidP="00213810">
            <w:pPr>
              <w:spacing w:after="450"/>
              <w:jc w:val="right"/>
              <w:rPr>
                <w:rFonts w:eastAsia="Times New Roman"/>
                <w:color w:val="0B0C0C"/>
              </w:rPr>
            </w:pPr>
            <w:r w:rsidRPr="00C72932">
              <w:rPr>
                <w:rFonts w:eastAsia="Times New Roman"/>
                <w:color w:val="0B0C0C"/>
              </w:rPr>
              <w:t>31,175</w:t>
            </w:r>
          </w:p>
        </w:tc>
        <w:tc>
          <w:tcPr>
            <w:tcW w:w="0" w:type="auto"/>
            <w:tcBorders>
              <w:bottom w:val="single" w:sz="6" w:space="0" w:color="B1B4B6"/>
            </w:tcBorders>
            <w:tcMar>
              <w:top w:w="150" w:type="dxa"/>
              <w:left w:w="150" w:type="dxa"/>
              <w:bottom w:w="150" w:type="dxa"/>
              <w:right w:w="150" w:type="dxa"/>
            </w:tcMar>
            <w:hideMark/>
          </w:tcPr>
          <w:p w14:paraId="594D019A" w14:textId="77777777" w:rsidR="001B1CBE" w:rsidRPr="00C72932" w:rsidRDefault="001B1CBE" w:rsidP="00213810">
            <w:pPr>
              <w:spacing w:after="450"/>
              <w:jc w:val="right"/>
              <w:rPr>
                <w:rFonts w:eastAsia="Times New Roman"/>
                <w:color w:val="0B0C0C"/>
              </w:rPr>
            </w:pPr>
            <w:r w:rsidRPr="00C72932">
              <w:rPr>
                <w:rFonts w:eastAsia="Times New Roman"/>
                <w:color w:val="0B0C0C"/>
              </w:rPr>
              <w:t>2,006</w:t>
            </w:r>
          </w:p>
        </w:tc>
        <w:tc>
          <w:tcPr>
            <w:tcW w:w="0" w:type="auto"/>
            <w:tcBorders>
              <w:bottom w:val="single" w:sz="6" w:space="0" w:color="B1B4B6"/>
            </w:tcBorders>
            <w:tcMar>
              <w:top w:w="150" w:type="dxa"/>
              <w:left w:w="150" w:type="dxa"/>
              <w:bottom w:w="150" w:type="dxa"/>
              <w:right w:w="150" w:type="dxa"/>
            </w:tcMar>
            <w:hideMark/>
          </w:tcPr>
          <w:p w14:paraId="7A435BF1" w14:textId="77777777" w:rsidR="001B1CBE" w:rsidRPr="00C72932" w:rsidRDefault="001B1CBE" w:rsidP="00213810">
            <w:pPr>
              <w:spacing w:after="450"/>
              <w:jc w:val="right"/>
              <w:rPr>
                <w:rFonts w:eastAsia="Times New Roman"/>
                <w:color w:val="0B0C0C"/>
              </w:rPr>
            </w:pPr>
            <w:r w:rsidRPr="00C72932">
              <w:rPr>
                <w:rFonts w:eastAsia="Times New Roman"/>
                <w:color w:val="0B0C0C"/>
              </w:rPr>
              <w:t>27,018</w:t>
            </w:r>
          </w:p>
        </w:tc>
        <w:tc>
          <w:tcPr>
            <w:tcW w:w="0" w:type="auto"/>
            <w:tcBorders>
              <w:bottom w:val="single" w:sz="6" w:space="0" w:color="B1B4B6"/>
            </w:tcBorders>
            <w:tcMar>
              <w:top w:w="150" w:type="dxa"/>
              <w:left w:w="150" w:type="dxa"/>
              <w:bottom w:w="150" w:type="dxa"/>
              <w:right w:w="150" w:type="dxa"/>
            </w:tcMar>
            <w:hideMark/>
          </w:tcPr>
          <w:p w14:paraId="052B1514" w14:textId="77777777" w:rsidR="001B1CBE" w:rsidRPr="00C72932" w:rsidRDefault="001B1CBE" w:rsidP="00213810">
            <w:pPr>
              <w:spacing w:after="450"/>
              <w:jc w:val="right"/>
              <w:rPr>
                <w:rFonts w:eastAsia="Times New Roman"/>
                <w:color w:val="0B0C0C"/>
              </w:rPr>
            </w:pPr>
            <w:r w:rsidRPr="00C72932">
              <w:rPr>
                <w:rFonts w:eastAsia="Times New Roman"/>
                <w:color w:val="0B0C0C"/>
              </w:rPr>
              <w:t>9,607</w:t>
            </w:r>
          </w:p>
        </w:tc>
        <w:tc>
          <w:tcPr>
            <w:tcW w:w="0" w:type="auto"/>
            <w:tcBorders>
              <w:bottom w:val="single" w:sz="6" w:space="0" w:color="B1B4B6"/>
            </w:tcBorders>
            <w:tcMar>
              <w:top w:w="150" w:type="dxa"/>
              <w:left w:w="150" w:type="dxa"/>
              <w:bottom w:w="150" w:type="dxa"/>
              <w:right w:w="150" w:type="dxa"/>
            </w:tcMar>
            <w:hideMark/>
          </w:tcPr>
          <w:p w14:paraId="60D462BA" w14:textId="77777777" w:rsidR="001B1CBE" w:rsidRPr="00C72932" w:rsidRDefault="001B1CBE" w:rsidP="00213810">
            <w:pPr>
              <w:spacing w:after="450"/>
              <w:jc w:val="right"/>
              <w:rPr>
                <w:rFonts w:eastAsia="Times New Roman"/>
                <w:color w:val="0B0C0C"/>
              </w:rPr>
            </w:pPr>
            <w:r w:rsidRPr="00C72932">
              <w:rPr>
                <w:rFonts w:eastAsia="Times New Roman"/>
                <w:color w:val="0B0C0C"/>
              </w:rPr>
              <w:t>406,707</w:t>
            </w:r>
          </w:p>
        </w:tc>
      </w:tr>
      <w:tr w:rsidR="001B1CBE" w:rsidRPr="00C72932" w14:paraId="576635BB" w14:textId="77777777" w:rsidTr="00213810">
        <w:trPr>
          <w:tblCellSpacing w:w="15" w:type="dxa"/>
        </w:trPr>
        <w:tc>
          <w:tcPr>
            <w:tcW w:w="0" w:type="auto"/>
            <w:vMerge/>
            <w:tcBorders>
              <w:bottom w:val="single" w:sz="6" w:space="0" w:color="B1B4B6"/>
            </w:tcBorders>
            <w:vAlign w:val="center"/>
            <w:hideMark/>
          </w:tcPr>
          <w:p w14:paraId="76224D2F"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1CF7F6DE" w14:textId="77777777" w:rsidR="001B1CBE" w:rsidRPr="00C72932" w:rsidRDefault="001B1CBE" w:rsidP="00213810">
            <w:pPr>
              <w:spacing w:after="450"/>
              <w:rPr>
                <w:rFonts w:eastAsia="Times New Roman"/>
                <w:color w:val="0B0C0C"/>
              </w:rPr>
            </w:pPr>
            <w:r w:rsidRPr="00C72932">
              <w:rPr>
                <w:rFonts w:eastAsia="Times New Roman"/>
                <w:color w:val="0B0C0C"/>
              </w:rPr>
              <w:t>2019/20</w:t>
            </w:r>
          </w:p>
        </w:tc>
        <w:tc>
          <w:tcPr>
            <w:tcW w:w="0" w:type="auto"/>
            <w:tcBorders>
              <w:bottom w:val="single" w:sz="6" w:space="0" w:color="B1B4B6"/>
            </w:tcBorders>
            <w:tcMar>
              <w:top w:w="150" w:type="dxa"/>
              <w:left w:w="150" w:type="dxa"/>
              <w:bottom w:w="150" w:type="dxa"/>
              <w:right w:w="150" w:type="dxa"/>
            </w:tcMar>
            <w:hideMark/>
          </w:tcPr>
          <w:p w14:paraId="6FC6609D" w14:textId="77777777" w:rsidR="001B1CBE" w:rsidRPr="00C72932" w:rsidRDefault="001B1CBE" w:rsidP="00213810">
            <w:pPr>
              <w:spacing w:after="450"/>
              <w:jc w:val="right"/>
              <w:rPr>
                <w:rFonts w:eastAsia="Times New Roman"/>
                <w:color w:val="0B0C0C"/>
              </w:rPr>
            </w:pPr>
            <w:r w:rsidRPr="00C72932">
              <w:rPr>
                <w:rFonts w:eastAsia="Times New Roman"/>
                <w:color w:val="0B0C0C"/>
              </w:rPr>
              <w:t>61,023</w:t>
            </w:r>
          </w:p>
        </w:tc>
        <w:tc>
          <w:tcPr>
            <w:tcW w:w="0" w:type="auto"/>
            <w:tcBorders>
              <w:bottom w:val="single" w:sz="6" w:space="0" w:color="B1B4B6"/>
            </w:tcBorders>
            <w:tcMar>
              <w:top w:w="150" w:type="dxa"/>
              <w:left w:w="150" w:type="dxa"/>
              <w:bottom w:w="150" w:type="dxa"/>
              <w:right w:w="150" w:type="dxa"/>
            </w:tcMar>
            <w:hideMark/>
          </w:tcPr>
          <w:p w14:paraId="28754931" w14:textId="77777777" w:rsidR="001B1CBE" w:rsidRPr="00C72932" w:rsidRDefault="001B1CBE" w:rsidP="00213810">
            <w:pPr>
              <w:spacing w:after="450"/>
              <w:jc w:val="right"/>
              <w:rPr>
                <w:rFonts w:eastAsia="Times New Roman"/>
                <w:color w:val="0B0C0C"/>
              </w:rPr>
            </w:pPr>
            <w:r w:rsidRPr="00C72932">
              <w:rPr>
                <w:rFonts w:eastAsia="Times New Roman"/>
                <w:color w:val="0B0C0C"/>
              </w:rPr>
              <w:t>32,935</w:t>
            </w:r>
          </w:p>
        </w:tc>
        <w:tc>
          <w:tcPr>
            <w:tcW w:w="0" w:type="auto"/>
            <w:tcBorders>
              <w:bottom w:val="single" w:sz="6" w:space="0" w:color="B1B4B6"/>
            </w:tcBorders>
            <w:tcMar>
              <w:top w:w="150" w:type="dxa"/>
              <w:left w:w="150" w:type="dxa"/>
              <w:bottom w:w="150" w:type="dxa"/>
              <w:right w:w="150" w:type="dxa"/>
            </w:tcMar>
            <w:hideMark/>
          </w:tcPr>
          <w:p w14:paraId="3685B4D8" w14:textId="77777777" w:rsidR="001B1CBE" w:rsidRPr="00C72932" w:rsidRDefault="001B1CBE" w:rsidP="00213810">
            <w:pPr>
              <w:spacing w:after="450"/>
              <w:jc w:val="right"/>
              <w:rPr>
                <w:rFonts w:eastAsia="Times New Roman"/>
                <w:color w:val="0B0C0C"/>
              </w:rPr>
            </w:pPr>
            <w:r w:rsidRPr="00C72932">
              <w:rPr>
                <w:rFonts w:eastAsia="Times New Roman"/>
                <w:color w:val="0B0C0C"/>
              </w:rPr>
              <w:t>1,959</w:t>
            </w:r>
          </w:p>
        </w:tc>
        <w:tc>
          <w:tcPr>
            <w:tcW w:w="0" w:type="auto"/>
            <w:tcBorders>
              <w:bottom w:val="single" w:sz="6" w:space="0" w:color="B1B4B6"/>
            </w:tcBorders>
            <w:tcMar>
              <w:top w:w="150" w:type="dxa"/>
              <w:left w:w="150" w:type="dxa"/>
              <w:bottom w:w="150" w:type="dxa"/>
              <w:right w:w="150" w:type="dxa"/>
            </w:tcMar>
            <w:hideMark/>
          </w:tcPr>
          <w:p w14:paraId="4277865B" w14:textId="77777777" w:rsidR="001B1CBE" w:rsidRPr="00C72932" w:rsidRDefault="001B1CBE" w:rsidP="00213810">
            <w:pPr>
              <w:spacing w:after="450"/>
              <w:jc w:val="right"/>
              <w:rPr>
                <w:rFonts w:eastAsia="Times New Roman"/>
                <w:color w:val="0B0C0C"/>
              </w:rPr>
            </w:pPr>
            <w:r w:rsidRPr="00C72932">
              <w:rPr>
                <w:rFonts w:eastAsia="Times New Roman"/>
                <w:color w:val="0B0C0C"/>
              </w:rPr>
              <w:t>29,481</w:t>
            </w:r>
          </w:p>
        </w:tc>
        <w:tc>
          <w:tcPr>
            <w:tcW w:w="0" w:type="auto"/>
            <w:tcBorders>
              <w:bottom w:val="single" w:sz="6" w:space="0" w:color="B1B4B6"/>
            </w:tcBorders>
            <w:tcMar>
              <w:top w:w="150" w:type="dxa"/>
              <w:left w:w="150" w:type="dxa"/>
              <w:bottom w:w="150" w:type="dxa"/>
              <w:right w:w="150" w:type="dxa"/>
            </w:tcMar>
            <w:hideMark/>
          </w:tcPr>
          <w:p w14:paraId="7E6A1A43" w14:textId="77777777" w:rsidR="001B1CBE" w:rsidRPr="00C72932" w:rsidRDefault="001B1CBE" w:rsidP="00213810">
            <w:pPr>
              <w:spacing w:after="450"/>
              <w:jc w:val="right"/>
              <w:rPr>
                <w:rFonts w:eastAsia="Times New Roman"/>
                <w:color w:val="0B0C0C"/>
              </w:rPr>
            </w:pPr>
            <w:r w:rsidRPr="00C72932">
              <w:rPr>
                <w:rFonts w:eastAsia="Times New Roman"/>
                <w:color w:val="0B0C0C"/>
              </w:rPr>
              <w:t>10,522</w:t>
            </w:r>
          </w:p>
        </w:tc>
        <w:tc>
          <w:tcPr>
            <w:tcW w:w="0" w:type="auto"/>
            <w:tcBorders>
              <w:bottom w:val="single" w:sz="6" w:space="0" w:color="B1B4B6"/>
            </w:tcBorders>
            <w:tcMar>
              <w:top w:w="150" w:type="dxa"/>
              <w:left w:w="150" w:type="dxa"/>
              <w:bottom w:w="150" w:type="dxa"/>
              <w:right w:w="150" w:type="dxa"/>
            </w:tcMar>
            <w:hideMark/>
          </w:tcPr>
          <w:p w14:paraId="477E67F0" w14:textId="77777777" w:rsidR="001B1CBE" w:rsidRPr="00C72932" w:rsidRDefault="001B1CBE" w:rsidP="00213810">
            <w:pPr>
              <w:spacing w:after="450"/>
              <w:jc w:val="right"/>
              <w:rPr>
                <w:rFonts w:eastAsia="Times New Roman"/>
                <w:color w:val="0B0C0C"/>
              </w:rPr>
            </w:pPr>
            <w:r w:rsidRPr="00C72932">
              <w:rPr>
                <w:rFonts w:eastAsia="Times New Roman"/>
                <w:color w:val="0B0C0C"/>
              </w:rPr>
              <w:t>416,504</w:t>
            </w:r>
          </w:p>
        </w:tc>
      </w:tr>
      <w:tr w:rsidR="001B1CBE" w:rsidRPr="00C72932" w14:paraId="731BB428" w14:textId="77777777" w:rsidTr="00213810">
        <w:trPr>
          <w:tblCellSpacing w:w="15" w:type="dxa"/>
        </w:trPr>
        <w:tc>
          <w:tcPr>
            <w:tcW w:w="0" w:type="auto"/>
            <w:vMerge/>
            <w:tcBorders>
              <w:bottom w:val="single" w:sz="6" w:space="0" w:color="B1B4B6"/>
            </w:tcBorders>
            <w:vAlign w:val="center"/>
            <w:hideMark/>
          </w:tcPr>
          <w:p w14:paraId="07283515"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2C891A8E" w14:textId="77777777" w:rsidR="001B1CBE" w:rsidRPr="00C72932" w:rsidRDefault="001B1CBE" w:rsidP="00213810">
            <w:pPr>
              <w:spacing w:after="450"/>
              <w:rPr>
                <w:rFonts w:eastAsia="Times New Roman"/>
                <w:color w:val="0B0C0C"/>
              </w:rPr>
            </w:pPr>
            <w:r w:rsidRPr="00C72932">
              <w:rPr>
                <w:rFonts w:eastAsia="Times New Roman"/>
                <w:color w:val="0B0C0C"/>
              </w:rPr>
              <w:t>2020/21</w:t>
            </w:r>
          </w:p>
        </w:tc>
        <w:tc>
          <w:tcPr>
            <w:tcW w:w="0" w:type="auto"/>
            <w:tcBorders>
              <w:bottom w:val="single" w:sz="6" w:space="0" w:color="B1B4B6"/>
            </w:tcBorders>
            <w:tcMar>
              <w:top w:w="150" w:type="dxa"/>
              <w:left w:w="150" w:type="dxa"/>
              <w:bottom w:w="150" w:type="dxa"/>
              <w:right w:w="150" w:type="dxa"/>
            </w:tcMar>
            <w:hideMark/>
          </w:tcPr>
          <w:p w14:paraId="22CC8EB5" w14:textId="77777777" w:rsidR="001B1CBE" w:rsidRPr="00C72932" w:rsidRDefault="001B1CBE" w:rsidP="00213810">
            <w:pPr>
              <w:spacing w:after="450"/>
              <w:jc w:val="right"/>
              <w:rPr>
                <w:rFonts w:eastAsia="Times New Roman"/>
                <w:color w:val="0B0C0C"/>
              </w:rPr>
            </w:pPr>
            <w:r w:rsidRPr="00C72932">
              <w:rPr>
                <w:rFonts w:eastAsia="Times New Roman"/>
                <w:color w:val="0B0C0C"/>
              </w:rPr>
              <w:t>63,704</w:t>
            </w:r>
          </w:p>
        </w:tc>
        <w:tc>
          <w:tcPr>
            <w:tcW w:w="0" w:type="auto"/>
            <w:tcBorders>
              <w:bottom w:val="single" w:sz="6" w:space="0" w:color="B1B4B6"/>
            </w:tcBorders>
            <w:tcMar>
              <w:top w:w="150" w:type="dxa"/>
              <w:left w:w="150" w:type="dxa"/>
              <w:bottom w:w="150" w:type="dxa"/>
              <w:right w:w="150" w:type="dxa"/>
            </w:tcMar>
            <w:hideMark/>
          </w:tcPr>
          <w:p w14:paraId="1C8B766B" w14:textId="77777777" w:rsidR="001B1CBE" w:rsidRPr="00C72932" w:rsidRDefault="001B1CBE" w:rsidP="00213810">
            <w:pPr>
              <w:spacing w:after="450"/>
              <w:jc w:val="right"/>
              <w:rPr>
                <w:rFonts w:eastAsia="Times New Roman"/>
                <w:color w:val="0B0C0C"/>
              </w:rPr>
            </w:pPr>
            <w:r w:rsidRPr="00C72932">
              <w:rPr>
                <w:rFonts w:eastAsia="Times New Roman"/>
                <w:color w:val="0B0C0C"/>
              </w:rPr>
              <w:t>34,911</w:t>
            </w:r>
          </w:p>
        </w:tc>
        <w:tc>
          <w:tcPr>
            <w:tcW w:w="0" w:type="auto"/>
            <w:tcBorders>
              <w:bottom w:val="single" w:sz="6" w:space="0" w:color="B1B4B6"/>
            </w:tcBorders>
            <w:tcMar>
              <w:top w:w="150" w:type="dxa"/>
              <w:left w:w="150" w:type="dxa"/>
              <w:bottom w:w="150" w:type="dxa"/>
              <w:right w:w="150" w:type="dxa"/>
            </w:tcMar>
            <w:hideMark/>
          </w:tcPr>
          <w:p w14:paraId="2D4AB758" w14:textId="77777777" w:rsidR="001B1CBE" w:rsidRPr="00C72932" w:rsidRDefault="001B1CBE" w:rsidP="00213810">
            <w:pPr>
              <w:spacing w:after="450"/>
              <w:jc w:val="right"/>
              <w:rPr>
                <w:rFonts w:eastAsia="Times New Roman"/>
                <w:color w:val="0B0C0C"/>
              </w:rPr>
            </w:pPr>
            <w:r w:rsidRPr="00C72932">
              <w:rPr>
                <w:rFonts w:eastAsia="Times New Roman"/>
                <w:color w:val="0B0C0C"/>
              </w:rPr>
              <w:t>2,101</w:t>
            </w:r>
          </w:p>
        </w:tc>
        <w:tc>
          <w:tcPr>
            <w:tcW w:w="0" w:type="auto"/>
            <w:tcBorders>
              <w:bottom w:val="single" w:sz="6" w:space="0" w:color="B1B4B6"/>
            </w:tcBorders>
            <w:tcMar>
              <w:top w:w="150" w:type="dxa"/>
              <w:left w:w="150" w:type="dxa"/>
              <w:bottom w:w="150" w:type="dxa"/>
              <w:right w:w="150" w:type="dxa"/>
            </w:tcMar>
            <w:hideMark/>
          </w:tcPr>
          <w:p w14:paraId="266887F5" w14:textId="77777777" w:rsidR="001B1CBE" w:rsidRPr="00C72932" w:rsidRDefault="001B1CBE" w:rsidP="00213810">
            <w:pPr>
              <w:spacing w:after="450"/>
              <w:jc w:val="right"/>
              <w:rPr>
                <w:rFonts w:eastAsia="Times New Roman"/>
                <w:color w:val="0B0C0C"/>
              </w:rPr>
            </w:pPr>
            <w:r w:rsidRPr="00C72932">
              <w:rPr>
                <w:rFonts w:eastAsia="Times New Roman"/>
                <w:color w:val="0B0C0C"/>
              </w:rPr>
              <w:t>31,772</w:t>
            </w:r>
          </w:p>
        </w:tc>
        <w:tc>
          <w:tcPr>
            <w:tcW w:w="0" w:type="auto"/>
            <w:tcBorders>
              <w:bottom w:val="single" w:sz="6" w:space="0" w:color="B1B4B6"/>
            </w:tcBorders>
            <w:tcMar>
              <w:top w:w="150" w:type="dxa"/>
              <w:left w:w="150" w:type="dxa"/>
              <w:bottom w:w="150" w:type="dxa"/>
              <w:right w:w="150" w:type="dxa"/>
            </w:tcMar>
            <w:hideMark/>
          </w:tcPr>
          <w:p w14:paraId="13348571" w14:textId="77777777" w:rsidR="001B1CBE" w:rsidRPr="00C72932" w:rsidRDefault="001B1CBE" w:rsidP="00213810">
            <w:pPr>
              <w:spacing w:after="450"/>
              <w:jc w:val="right"/>
              <w:rPr>
                <w:rFonts w:eastAsia="Times New Roman"/>
                <w:color w:val="0B0C0C"/>
              </w:rPr>
            </w:pPr>
            <w:r w:rsidRPr="00C72932">
              <w:rPr>
                <w:rFonts w:eastAsia="Times New Roman"/>
                <w:color w:val="0B0C0C"/>
              </w:rPr>
              <w:t>11,265</w:t>
            </w:r>
          </w:p>
        </w:tc>
        <w:tc>
          <w:tcPr>
            <w:tcW w:w="0" w:type="auto"/>
            <w:tcBorders>
              <w:bottom w:val="single" w:sz="6" w:space="0" w:color="B1B4B6"/>
            </w:tcBorders>
            <w:tcMar>
              <w:top w:w="150" w:type="dxa"/>
              <w:left w:w="150" w:type="dxa"/>
              <w:bottom w:w="150" w:type="dxa"/>
              <w:right w:w="150" w:type="dxa"/>
            </w:tcMar>
            <w:hideMark/>
          </w:tcPr>
          <w:p w14:paraId="60F005CF" w14:textId="77777777" w:rsidR="001B1CBE" w:rsidRPr="00C72932" w:rsidRDefault="001B1CBE" w:rsidP="00213810">
            <w:pPr>
              <w:spacing w:after="450"/>
              <w:jc w:val="right"/>
              <w:rPr>
                <w:rFonts w:eastAsia="Times New Roman"/>
                <w:color w:val="0B0C0C"/>
              </w:rPr>
            </w:pPr>
            <w:r w:rsidRPr="00C72932">
              <w:rPr>
                <w:rFonts w:eastAsia="Times New Roman"/>
                <w:color w:val="0B0C0C"/>
              </w:rPr>
              <w:t>421,995</w:t>
            </w:r>
          </w:p>
        </w:tc>
      </w:tr>
      <w:tr w:rsidR="001B1CBE" w:rsidRPr="00C72932" w14:paraId="2B00AC00" w14:textId="77777777" w:rsidTr="00213810">
        <w:trPr>
          <w:tblCellSpacing w:w="15" w:type="dxa"/>
        </w:trPr>
        <w:tc>
          <w:tcPr>
            <w:tcW w:w="0" w:type="auto"/>
            <w:vMerge/>
            <w:tcBorders>
              <w:bottom w:val="single" w:sz="6" w:space="0" w:color="B1B4B6"/>
            </w:tcBorders>
            <w:vAlign w:val="center"/>
            <w:hideMark/>
          </w:tcPr>
          <w:p w14:paraId="08DB5A32"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21FE6C9" w14:textId="77777777" w:rsidR="001B1CBE" w:rsidRPr="00C72932" w:rsidRDefault="001B1CBE" w:rsidP="00213810">
            <w:pPr>
              <w:spacing w:after="450"/>
              <w:rPr>
                <w:rFonts w:eastAsia="Times New Roman"/>
                <w:color w:val="0B0C0C"/>
              </w:rPr>
            </w:pPr>
            <w:r w:rsidRPr="00C72932">
              <w:rPr>
                <w:rFonts w:eastAsia="Times New Roman"/>
                <w:color w:val="0B0C0C"/>
              </w:rPr>
              <w:t>2021/22</w:t>
            </w:r>
          </w:p>
        </w:tc>
        <w:tc>
          <w:tcPr>
            <w:tcW w:w="0" w:type="auto"/>
            <w:tcBorders>
              <w:bottom w:val="single" w:sz="6" w:space="0" w:color="B1B4B6"/>
            </w:tcBorders>
            <w:tcMar>
              <w:top w:w="150" w:type="dxa"/>
              <w:left w:w="150" w:type="dxa"/>
              <w:bottom w:w="150" w:type="dxa"/>
              <w:right w:w="150" w:type="dxa"/>
            </w:tcMar>
            <w:hideMark/>
          </w:tcPr>
          <w:p w14:paraId="7CE596D1" w14:textId="77777777" w:rsidR="001B1CBE" w:rsidRPr="00C72932" w:rsidRDefault="001B1CBE" w:rsidP="00213810">
            <w:pPr>
              <w:spacing w:after="450"/>
              <w:jc w:val="right"/>
              <w:rPr>
                <w:rFonts w:eastAsia="Times New Roman"/>
                <w:color w:val="0B0C0C"/>
              </w:rPr>
            </w:pPr>
            <w:r w:rsidRPr="00C72932">
              <w:rPr>
                <w:rFonts w:eastAsia="Times New Roman"/>
                <w:color w:val="0B0C0C"/>
              </w:rPr>
              <w:t>66,833</w:t>
            </w:r>
          </w:p>
        </w:tc>
        <w:tc>
          <w:tcPr>
            <w:tcW w:w="0" w:type="auto"/>
            <w:tcBorders>
              <w:bottom w:val="single" w:sz="6" w:space="0" w:color="B1B4B6"/>
            </w:tcBorders>
            <w:tcMar>
              <w:top w:w="150" w:type="dxa"/>
              <w:left w:w="150" w:type="dxa"/>
              <w:bottom w:w="150" w:type="dxa"/>
              <w:right w:w="150" w:type="dxa"/>
            </w:tcMar>
            <w:hideMark/>
          </w:tcPr>
          <w:p w14:paraId="0ED7BC0D" w14:textId="77777777" w:rsidR="001B1CBE" w:rsidRPr="00C72932" w:rsidRDefault="001B1CBE" w:rsidP="00213810">
            <w:pPr>
              <w:spacing w:after="450"/>
              <w:jc w:val="right"/>
              <w:rPr>
                <w:rFonts w:eastAsia="Times New Roman"/>
                <w:color w:val="0B0C0C"/>
              </w:rPr>
            </w:pPr>
            <w:r w:rsidRPr="00C72932">
              <w:rPr>
                <w:rFonts w:eastAsia="Times New Roman"/>
                <w:color w:val="0B0C0C"/>
              </w:rPr>
              <w:t>36,076</w:t>
            </w:r>
          </w:p>
        </w:tc>
        <w:tc>
          <w:tcPr>
            <w:tcW w:w="0" w:type="auto"/>
            <w:tcBorders>
              <w:bottom w:val="single" w:sz="6" w:space="0" w:color="B1B4B6"/>
            </w:tcBorders>
            <w:tcMar>
              <w:top w:w="150" w:type="dxa"/>
              <w:left w:w="150" w:type="dxa"/>
              <w:bottom w:w="150" w:type="dxa"/>
              <w:right w:w="150" w:type="dxa"/>
            </w:tcMar>
            <w:hideMark/>
          </w:tcPr>
          <w:p w14:paraId="0555F666" w14:textId="77777777" w:rsidR="001B1CBE" w:rsidRPr="00C72932" w:rsidRDefault="001B1CBE" w:rsidP="00213810">
            <w:pPr>
              <w:spacing w:after="450"/>
              <w:jc w:val="right"/>
              <w:rPr>
                <w:rFonts w:eastAsia="Times New Roman"/>
                <w:color w:val="0B0C0C"/>
              </w:rPr>
            </w:pPr>
            <w:r w:rsidRPr="00C72932">
              <w:rPr>
                <w:rFonts w:eastAsia="Times New Roman"/>
                <w:color w:val="0B0C0C"/>
              </w:rPr>
              <w:t>2,438</w:t>
            </w:r>
          </w:p>
        </w:tc>
        <w:tc>
          <w:tcPr>
            <w:tcW w:w="0" w:type="auto"/>
            <w:tcBorders>
              <w:bottom w:val="single" w:sz="6" w:space="0" w:color="B1B4B6"/>
            </w:tcBorders>
            <w:tcMar>
              <w:top w:w="150" w:type="dxa"/>
              <w:left w:w="150" w:type="dxa"/>
              <w:bottom w:w="150" w:type="dxa"/>
              <w:right w:w="150" w:type="dxa"/>
            </w:tcMar>
            <w:hideMark/>
          </w:tcPr>
          <w:p w14:paraId="4DDA58F5" w14:textId="77777777" w:rsidR="001B1CBE" w:rsidRPr="00C72932" w:rsidRDefault="001B1CBE" w:rsidP="00213810">
            <w:pPr>
              <w:spacing w:after="450"/>
              <w:jc w:val="right"/>
              <w:rPr>
                <w:rFonts w:eastAsia="Times New Roman"/>
                <w:color w:val="0B0C0C"/>
              </w:rPr>
            </w:pPr>
            <w:r w:rsidRPr="00C72932">
              <w:rPr>
                <w:rFonts w:eastAsia="Times New Roman"/>
                <w:color w:val="0B0C0C"/>
              </w:rPr>
              <w:t>34,069</w:t>
            </w:r>
          </w:p>
        </w:tc>
        <w:tc>
          <w:tcPr>
            <w:tcW w:w="0" w:type="auto"/>
            <w:tcBorders>
              <w:bottom w:val="single" w:sz="6" w:space="0" w:color="B1B4B6"/>
            </w:tcBorders>
            <w:tcMar>
              <w:top w:w="150" w:type="dxa"/>
              <w:left w:w="150" w:type="dxa"/>
              <w:bottom w:w="150" w:type="dxa"/>
              <w:right w:w="150" w:type="dxa"/>
            </w:tcMar>
            <w:hideMark/>
          </w:tcPr>
          <w:p w14:paraId="4C9387CB" w14:textId="77777777" w:rsidR="001B1CBE" w:rsidRPr="00C72932" w:rsidRDefault="001B1CBE" w:rsidP="00213810">
            <w:pPr>
              <w:spacing w:after="450"/>
              <w:jc w:val="right"/>
              <w:rPr>
                <w:rFonts w:eastAsia="Times New Roman"/>
                <w:color w:val="0B0C0C"/>
              </w:rPr>
            </w:pPr>
            <w:r w:rsidRPr="00C72932">
              <w:rPr>
                <w:rFonts w:eastAsia="Times New Roman"/>
                <w:color w:val="0B0C0C"/>
              </w:rPr>
              <w:t>11,986</w:t>
            </w:r>
          </w:p>
        </w:tc>
        <w:tc>
          <w:tcPr>
            <w:tcW w:w="0" w:type="auto"/>
            <w:tcBorders>
              <w:bottom w:val="single" w:sz="6" w:space="0" w:color="B1B4B6"/>
            </w:tcBorders>
            <w:tcMar>
              <w:top w:w="150" w:type="dxa"/>
              <w:left w:w="150" w:type="dxa"/>
              <w:bottom w:w="150" w:type="dxa"/>
              <w:right w:w="150" w:type="dxa"/>
            </w:tcMar>
            <w:hideMark/>
          </w:tcPr>
          <w:p w14:paraId="52CD59F3" w14:textId="77777777" w:rsidR="001B1CBE" w:rsidRPr="00C72932" w:rsidRDefault="001B1CBE" w:rsidP="00213810">
            <w:pPr>
              <w:spacing w:after="450"/>
              <w:jc w:val="right"/>
              <w:rPr>
                <w:rFonts w:eastAsia="Times New Roman"/>
                <w:color w:val="0B0C0C"/>
              </w:rPr>
            </w:pPr>
            <w:r w:rsidRPr="00C72932">
              <w:rPr>
                <w:rFonts w:eastAsia="Times New Roman"/>
                <w:color w:val="0B0C0C"/>
              </w:rPr>
              <w:t>425,307</w:t>
            </w:r>
          </w:p>
        </w:tc>
      </w:tr>
      <w:tr w:rsidR="001B1CBE" w:rsidRPr="00C72932" w14:paraId="328C03EE"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53D344FB" w14:textId="77777777" w:rsidR="001B1CBE" w:rsidRPr="00C72932" w:rsidRDefault="001B1CBE" w:rsidP="00213810">
            <w:pPr>
              <w:spacing w:after="450"/>
              <w:rPr>
                <w:rFonts w:eastAsia="Times New Roman"/>
                <w:color w:val="0B0C0C"/>
              </w:rPr>
            </w:pPr>
            <w:r w:rsidRPr="00C72932">
              <w:rPr>
                <w:rFonts w:eastAsia="Times New Roman"/>
                <w:color w:val="0B0C0C"/>
              </w:rPr>
              <w:t>Percentage of pupils entering the English Baccalaureate</w:t>
            </w:r>
          </w:p>
        </w:tc>
        <w:tc>
          <w:tcPr>
            <w:tcW w:w="0" w:type="auto"/>
            <w:tcBorders>
              <w:bottom w:val="single" w:sz="6" w:space="0" w:color="B1B4B6"/>
            </w:tcBorders>
            <w:shd w:val="clear" w:color="auto" w:fill="FFFFFF"/>
            <w:tcMar>
              <w:top w:w="150" w:type="dxa"/>
              <w:left w:w="0" w:type="dxa"/>
              <w:bottom w:w="150" w:type="dxa"/>
              <w:right w:w="300" w:type="dxa"/>
            </w:tcMar>
            <w:hideMark/>
          </w:tcPr>
          <w:p w14:paraId="6B0A27E0" w14:textId="77777777" w:rsidR="001B1CBE" w:rsidRPr="00C72932" w:rsidRDefault="001B1CBE" w:rsidP="00213810">
            <w:pPr>
              <w:spacing w:after="450"/>
              <w:rPr>
                <w:rFonts w:eastAsia="Times New Roman"/>
                <w:color w:val="0B0C0C"/>
              </w:rPr>
            </w:pPr>
            <w:r w:rsidRPr="00C72932">
              <w:rPr>
                <w:rFonts w:eastAsia="Times New Roman"/>
                <w:color w:val="0B0C0C"/>
              </w:rPr>
              <w:t>2018/19</w:t>
            </w:r>
          </w:p>
        </w:tc>
        <w:tc>
          <w:tcPr>
            <w:tcW w:w="0" w:type="auto"/>
            <w:tcBorders>
              <w:bottom w:val="single" w:sz="6" w:space="0" w:color="B1B4B6"/>
            </w:tcBorders>
            <w:tcMar>
              <w:top w:w="150" w:type="dxa"/>
              <w:left w:w="150" w:type="dxa"/>
              <w:bottom w:w="150" w:type="dxa"/>
              <w:right w:w="150" w:type="dxa"/>
            </w:tcMar>
            <w:hideMark/>
          </w:tcPr>
          <w:p w14:paraId="7FA89C48" w14:textId="77777777" w:rsidR="001B1CBE" w:rsidRPr="00C72932" w:rsidRDefault="001B1CBE" w:rsidP="00213810">
            <w:pPr>
              <w:spacing w:after="450"/>
              <w:jc w:val="right"/>
              <w:rPr>
                <w:rFonts w:eastAsia="Times New Roman"/>
                <w:color w:val="0B0C0C"/>
              </w:rPr>
            </w:pPr>
            <w:r w:rsidRPr="00C72932">
              <w:rPr>
                <w:rFonts w:eastAsia="Times New Roman"/>
                <w:color w:val="0B0C0C"/>
              </w:rPr>
              <w:t>50.6%</w:t>
            </w:r>
          </w:p>
        </w:tc>
        <w:tc>
          <w:tcPr>
            <w:tcW w:w="0" w:type="auto"/>
            <w:tcBorders>
              <w:bottom w:val="single" w:sz="6" w:space="0" w:color="B1B4B6"/>
            </w:tcBorders>
            <w:tcMar>
              <w:top w:w="150" w:type="dxa"/>
              <w:left w:w="150" w:type="dxa"/>
              <w:bottom w:w="150" w:type="dxa"/>
              <w:right w:w="150" w:type="dxa"/>
            </w:tcMar>
            <w:hideMark/>
          </w:tcPr>
          <w:p w14:paraId="0280632E" w14:textId="77777777" w:rsidR="001B1CBE" w:rsidRPr="00C72932" w:rsidRDefault="001B1CBE" w:rsidP="00213810">
            <w:pPr>
              <w:spacing w:after="450"/>
              <w:jc w:val="right"/>
              <w:rPr>
                <w:rFonts w:eastAsia="Times New Roman"/>
                <w:color w:val="0B0C0C"/>
              </w:rPr>
            </w:pPr>
            <w:r w:rsidRPr="00C72932">
              <w:rPr>
                <w:rFonts w:eastAsia="Times New Roman"/>
                <w:color w:val="0B0C0C"/>
              </w:rPr>
              <w:t>46.5%</w:t>
            </w:r>
          </w:p>
        </w:tc>
        <w:tc>
          <w:tcPr>
            <w:tcW w:w="0" w:type="auto"/>
            <w:tcBorders>
              <w:bottom w:val="single" w:sz="6" w:space="0" w:color="B1B4B6"/>
            </w:tcBorders>
            <w:tcMar>
              <w:top w:w="150" w:type="dxa"/>
              <w:left w:w="150" w:type="dxa"/>
              <w:bottom w:w="150" w:type="dxa"/>
              <w:right w:w="150" w:type="dxa"/>
            </w:tcMar>
            <w:hideMark/>
          </w:tcPr>
          <w:p w14:paraId="12699A47" w14:textId="77777777" w:rsidR="001B1CBE" w:rsidRPr="00C72932" w:rsidRDefault="001B1CBE" w:rsidP="00213810">
            <w:pPr>
              <w:spacing w:after="450"/>
              <w:jc w:val="right"/>
              <w:rPr>
                <w:rFonts w:eastAsia="Times New Roman"/>
                <w:color w:val="0B0C0C"/>
              </w:rPr>
            </w:pPr>
            <w:r w:rsidRPr="00C72932">
              <w:rPr>
                <w:rFonts w:eastAsia="Times New Roman"/>
                <w:color w:val="0B0C0C"/>
              </w:rPr>
              <w:t>61.6%</w:t>
            </w:r>
          </w:p>
        </w:tc>
        <w:tc>
          <w:tcPr>
            <w:tcW w:w="0" w:type="auto"/>
            <w:tcBorders>
              <w:bottom w:val="single" w:sz="6" w:space="0" w:color="B1B4B6"/>
            </w:tcBorders>
            <w:tcMar>
              <w:top w:w="150" w:type="dxa"/>
              <w:left w:w="150" w:type="dxa"/>
              <w:bottom w:w="150" w:type="dxa"/>
              <w:right w:w="150" w:type="dxa"/>
            </w:tcMar>
            <w:hideMark/>
          </w:tcPr>
          <w:p w14:paraId="785062F8" w14:textId="77777777" w:rsidR="001B1CBE" w:rsidRPr="00C72932" w:rsidRDefault="001B1CBE" w:rsidP="00213810">
            <w:pPr>
              <w:spacing w:after="450"/>
              <w:jc w:val="right"/>
              <w:rPr>
                <w:rFonts w:eastAsia="Times New Roman"/>
                <w:color w:val="0B0C0C"/>
              </w:rPr>
            </w:pPr>
            <w:r w:rsidRPr="00C72932">
              <w:rPr>
                <w:rFonts w:eastAsia="Times New Roman"/>
                <w:color w:val="0B0C0C"/>
              </w:rPr>
              <w:t>44.3%</w:t>
            </w:r>
          </w:p>
        </w:tc>
        <w:tc>
          <w:tcPr>
            <w:tcW w:w="0" w:type="auto"/>
            <w:tcBorders>
              <w:bottom w:val="single" w:sz="6" w:space="0" w:color="B1B4B6"/>
            </w:tcBorders>
            <w:tcMar>
              <w:top w:w="150" w:type="dxa"/>
              <w:left w:w="150" w:type="dxa"/>
              <w:bottom w:w="150" w:type="dxa"/>
              <w:right w:w="150" w:type="dxa"/>
            </w:tcMar>
            <w:hideMark/>
          </w:tcPr>
          <w:p w14:paraId="3EF1B862" w14:textId="77777777" w:rsidR="001B1CBE" w:rsidRPr="00C72932" w:rsidRDefault="001B1CBE" w:rsidP="00213810">
            <w:pPr>
              <w:spacing w:after="450"/>
              <w:jc w:val="right"/>
              <w:rPr>
                <w:rFonts w:eastAsia="Times New Roman"/>
                <w:color w:val="0B0C0C"/>
              </w:rPr>
            </w:pPr>
            <w:r w:rsidRPr="00C72932">
              <w:rPr>
                <w:rFonts w:eastAsia="Times New Roman"/>
                <w:color w:val="0B0C0C"/>
              </w:rPr>
              <w:t>51.1%</w:t>
            </w:r>
          </w:p>
        </w:tc>
        <w:tc>
          <w:tcPr>
            <w:tcW w:w="0" w:type="auto"/>
            <w:tcBorders>
              <w:bottom w:val="single" w:sz="6" w:space="0" w:color="B1B4B6"/>
            </w:tcBorders>
            <w:tcMar>
              <w:top w:w="150" w:type="dxa"/>
              <w:left w:w="150" w:type="dxa"/>
              <w:bottom w:w="150" w:type="dxa"/>
              <w:right w:w="150" w:type="dxa"/>
            </w:tcMar>
            <w:hideMark/>
          </w:tcPr>
          <w:p w14:paraId="5A3B5DD8" w14:textId="77777777" w:rsidR="001B1CBE" w:rsidRPr="00C72932" w:rsidRDefault="001B1CBE" w:rsidP="00213810">
            <w:pPr>
              <w:spacing w:after="450"/>
              <w:jc w:val="right"/>
              <w:rPr>
                <w:rFonts w:eastAsia="Times New Roman"/>
                <w:color w:val="0B0C0C"/>
              </w:rPr>
            </w:pPr>
            <w:r w:rsidRPr="00C72932">
              <w:rPr>
                <w:rFonts w:eastAsia="Times New Roman"/>
                <w:color w:val="0B0C0C"/>
              </w:rPr>
              <w:t>37.5%</w:t>
            </w:r>
          </w:p>
        </w:tc>
      </w:tr>
      <w:tr w:rsidR="001B1CBE" w:rsidRPr="00C72932" w14:paraId="53FAEF2A" w14:textId="77777777" w:rsidTr="00213810">
        <w:trPr>
          <w:tblCellSpacing w:w="15" w:type="dxa"/>
        </w:trPr>
        <w:tc>
          <w:tcPr>
            <w:tcW w:w="0" w:type="auto"/>
            <w:vMerge/>
            <w:tcBorders>
              <w:bottom w:val="single" w:sz="6" w:space="0" w:color="B1B4B6"/>
            </w:tcBorders>
            <w:vAlign w:val="center"/>
            <w:hideMark/>
          </w:tcPr>
          <w:p w14:paraId="407FA0D8"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7B4A6112" w14:textId="77777777" w:rsidR="001B1CBE" w:rsidRPr="00C72932" w:rsidRDefault="001B1CBE" w:rsidP="00213810">
            <w:pPr>
              <w:spacing w:after="450"/>
              <w:rPr>
                <w:rFonts w:eastAsia="Times New Roman"/>
                <w:color w:val="0B0C0C"/>
              </w:rPr>
            </w:pPr>
            <w:r w:rsidRPr="00C72932">
              <w:rPr>
                <w:rFonts w:eastAsia="Times New Roman"/>
                <w:color w:val="0B0C0C"/>
              </w:rPr>
              <w:t>2019/20</w:t>
            </w:r>
          </w:p>
        </w:tc>
        <w:tc>
          <w:tcPr>
            <w:tcW w:w="0" w:type="auto"/>
            <w:tcBorders>
              <w:bottom w:val="single" w:sz="6" w:space="0" w:color="B1B4B6"/>
            </w:tcBorders>
            <w:tcMar>
              <w:top w:w="150" w:type="dxa"/>
              <w:left w:w="150" w:type="dxa"/>
              <w:bottom w:w="150" w:type="dxa"/>
              <w:right w:w="150" w:type="dxa"/>
            </w:tcMar>
            <w:hideMark/>
          </w:tcPr>
          <w:p w14:paraId="6F7AF13D" w14:textId="77777777" w:rsidR="001B1CBE" w:rsidRPr="00C72932" w:rsidRDefault="001B1CBE" w:rsidP="00213810">
            <w:pPr>
              <w:spacing w:after="450"/>
              <w:jc w:val="right"/>
              <w:rPr>
                <w:rFonts w:eastAsia="Times New Roman"/>
                <w:color w:val="0B0C0C"/>
              </w:rPr>
            </w:pPr>
            <w:r w:rsidRPr="00C72932">
              <w:rPr>
                <w:rFonts w:eastAsia="Times New Roman"/>
                <w:color w:val="0B0C0C"/>
              </w:rPr>
              <w:t>51.9%</w:t>
            </w:r>
          </w:p>
        </w:tc>
        <w:tc>
          <w:tcPr>
            <w:tcW w:w="0" w:type="auto"/>
            <w:tcBorders>
              <w:bottom w:val="single" w:sz="6" w:space="0" w:color="B1B4B6"/>
            </w:tcBorders>
            <w:tcMar>
              <w:top w:w="150" w:type="dxa"/>
              <w:left w:w="150" w:type="dxa"/>
              <w:bottom w:w="150" w:type="dxa"/>
              <w:right w:w="150" w:type="dxa"/>
            </w:tcMar>
            <w:hideMark/>
          </w:tcPr>
          <w:p w14:paraId="5A859B2F" w14:textId="77777777" w:rsidR="001B1CBE" w:rsidRPr="00C72932" w:rsidRDefault="001B1CBE" w:rsidP="00213810">
            <w:pPr>
              <w:spacing w:after="450"/>
              <w:jc w:val="right"/>
              <w:rPr>
                <w:rFonts w:eastAsia="Times New Roman"/>
                <w:color w:val="0B0C0C"/>
              </w:rPr>
            </w:pPr>
            <w:r w:rsidRPr="00C72932">
              <w:rPr>
                <w:rFonts w:eastAsia="Times New Roman"/>
                <w:color w:val="0B0C0C"/>
              </w:rPr>
              <w:t>47.7%</w:t>
            </w:r>
          </w:p>
        </w:tc>
        <w:tc>
          <w:tcPr>
            <w:tcW w:w="0" w:type="auto"/>
            <w:tcBorders>
              <w:bottom w:val="single" w:sz="6" w:space="0" w:color="B1B4B6"/>
            </w:tcBorders>
            <w:tcMar>
              <w:top w:w="150" w:type="dxa"/>
              <w:left w:w="150" w:type="dxa"/>
              <w:bottom w:w="150" w:type="dxa"/>
              <w:right w:w="150" w:type="dxa"/>
            </w:tcMar>
            <w:hideMark/>
          </w:tcPr>
          <w:p w14:paraId="529F34D0" w14:textId="77777777" w:rsidR="001B1CBE" w:rsidRPr="00C72932" w:rsidRDefault="001B1CBE" w:rsidP="00213810">
            <w:pPr>
              <w:spacing w:after="450"/>
              <w:jc w:val="right"/>
              <w:rPr>
                <w:rFonts w:eastAsia="Times New Roman"/>
                <w:color w:val="0B0C0C"/>
              </w:rPr>
            </w:pPr>
            <w:r w:rsidRPr="00C72932">
              <w:rPr>
                <w:rFonts w:eastAsia="Times New Roman"/>
                <w:color w:val="0B0C0C"/>
              </w:rPr>
              <w:t>64.2%</w:t>
            </w:r>
          </w:p>
        </w:tc>
        <w:tc>
          <w:tcPr>
            <w:tcW w:w="0" w:type="auto"/>
            <w:tcBorders>
              <w:bottom w:val="single" w:sz="6" w:space="0" w:color="B1B4B6"/>
            </w:tcBorders>
            <w:tcMar>
              <w:top w:w="150" w:type="dxa"/>
              <w:left w:w="150" w:type="dxa"/>
              <w:bottom w:w="150" w:type="dxa"/>
              <w:right w:w="150" w:type="dxa"/>
            </w:tcMar>
            <w:hideMark/>
          </w:tcPr>
          <w:p w14:paraId="40B9E821" w14:textId="77777777" w:rsidR="001B1CBE" w:rsidRPr="00C72932" w:rsidRDefault="001B1CBE" w:rsidP="00213810">
            <w:pPr>
              <w:spacing w:after="450"/>
              <w:jc w:val="right"/>
              <w:rPr>
                <w:rFonts w:eastAsia="Times New Roman"/>
                <w:color w:val="0B0C0C"/>
              </w:rPr>
            </w:pPr>
            <w:r w:rsidRPr="00C72932">
              <w:rPr>
                <w:rFonts w:eastAsia="Times New Roman"/>
                <w:color w:val="0B0C0C"/>
              </w:rPr>
              <w:t>44.3%</w:t>
            </w:r>
          </w:p>
        </w:tc>
        <w:tc>
          <w:tcPr>
            <w:tcW w:w="0" w:type="auto"/>
            <w:tcBorders>
              <w:bottom w:val="single" w:sz="6" w:space="0" w:color="B1B4B6"/>
            </w:tcBorders>
            <w:tcMar>
              <w:top w:w="150" w:type="dxa"/>
              <w:left w:w="150" w:type="dxa"/>
              <w:bottom w:w="150" w:type="dxa"/>
              <w:right w:w="150" w:type="dxa"/>
            </w:tcMar>
            <w:hideMark/>
          </w:tcPr>
          <w:p w14:paraId="370B084A" w14:textId="77777777" w:rsidR="001B1CBE" w:rsidRPr="00C72932" w:rsidRDefault="001B1CBE" w:rsidP="00213810">
            <w:pPr>
              <w:spacing w:after="450"/>
              <w:jc w:val="right"/>
              <w:rPr>
                <w:rFonts w:eastAsia="Times New Roman"/>
                <w:color w:val="0B0C0C"/>
              </w:rPr>
            </w:pPr>
            <w:r w:rsidRPr="00C72932">
              <w:rPr>
                <w:rFonts w:eastAsia="Times New Roman"/>
                <w:color w:val="0B0C0C"/>
              </w:rPr>
              <w:t>51.1%</w:t>
            </w:r>
          </w:p>
        </w:tc>
        <w:tc>
          <w:tcPr>
            <w:tcW w:w="0" w:type="auto"/>
            <w:tcBorders>
              <w:bottom w:val="single" w:sz="6" w:space="0" w:color="B1B4B6"/>
            </w:tcBorders>
            <w:tcMar>
              <w:top w:w="150" w:type="dxa"/>
              <w:left w:w="150" w:type="dxa"/>
              <w:bottom w:w="150" w:type="dxa"/>
              <w:right w:w="150" w:type="dxa"/>
            </w:tcMar>
            <w:hideMark/>
          </w:tcPr>
          <w:p w14:paraId="3D49D19B" w14:textId="77777777" w:rsidR="001B1CBE" w:rsidRPr="00C72932" w:rsidRDefault="001B1CBE" w:rsidP="00213810">
            <w:pPr>
              <w:spacing w:after="450"/>
              <w:jc w:val="right"/>
              <w:rPr>
                <w:rFonts w:eastAsia="Times New Roman"/>
                <w:color w:val="0B0C0C"/>
              </w:rPr>
            </w:pPr>
            <w:r w:rsidRPr="00C72932">
              <w:rPr>
                <w:rFonts w:eastAsia="Times New Roman"/>
                <w:color w:val="0B0C0C"/>
              </w:rPr>
              <w:t>36.9%</w:t>
            </w:r>
          </w:p>
        </w:tc>
      </w:tr>
      <w:tr w:rsidR="001B1CBE" w:rsidRPr="00C72932" w14:paraId="67B52C05" w14:textId="77777777" w:rsidTr="00213810">
        <w:trPr>
          <w:tblCellSpacing w:w="15" w:type="dxa"/>
        </w:trPr>
        <w:tc>
          <w:tcPr>
            <w:tcW w:w="0" w:type="auto"/>
            <w:vMerge/>
            <w:tcBorders>
              <w:bottom w:val="single" w:sz="6" w:space="0" w:color="B1B4B6"/>
            </w:tcBorders>
            <w:vAlign w:val="center"/>
            <w:hideMark/>
          </w:tcPr>
          <w:p w14:paraId="5CB5FF83"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4D183BF3" w14:textId="77777777" w:rsidR="001B1CBE" w:rsidRPr="00C72932" w:rsidRDefault="001B1CBE" w:rsidP="00213810">
            <w:pPr>
              <w:spacing w:after="450"/>
              <w:rPr>
                <w:rFonts w:eastAsia="Times New Roman"/>
                <w:color w:val="0B0C0C"/>
              </w:rPr>
            </w:pPr>
            <w:r w:rsidRPr="00C72932">
              <w:rPr>
                <w:rFonts w:eastAsia="Times New Roman"/>
                <w:color w:val="0B0C0C"/>
              </w:rPr>
              <w:t>2020/21</w:t>
            </w:r>
          </w:p>
        </w:tc>
        <w:tc>
          <w:tcPr>
            <w:tcW w:w="0" w:type="auto"/>
            <w:tcBorders>
              <w:bottom w:val="single" w:sz="6" w:space="0" w:color="B1B4B6"/>
            </w:tcBorders>
            <w:tcMar>
              <w:top w:w="150" w:type="dxa"/>
              <w:left w:w="150" w:type="dxa"/>
              <w:bottom w:w="150" w:type="dxa"/>
              <w:right w:w="150" w:type="dxa"/>
            </w:tcMar>
            <w:hideMark/>
          </w:tcPr>
          <w:p w14:paraId="35C0C0AE" w14:textId="77777777" w:rsidR="001B1CBE" w:rsidRPr="00C72932" w:rsidRDefault="001B1CBE" w:rsidP="00213810">
            <w:pPr>
              <w:spacing w:after="450"/>
              <w:jc w:val="right"/>
              <w:rPr>
                <w:rFonts w:eastAsia="Times New Roman"/>
                <w:color w:val="0B0C0C"/>
              </w:rPr>
            </w:pPr>
            <w:r w:rsidRPr="00C72932">
              <w:rPr>
                <w:rFonts w:eastAsia="Times New Roman"/>
                <w:color w:val="0B0C0C"/>
              </w:rPr>
              <w:t>50.9%</w:t>
            </w:r>
          </w:p>
        </w:tc>
        <w:tc>
          <w:tcPr>
            <w:tcW w:w="0" w:type="auto"/>
            <w:tcBorders>
              <w:bottom w:val="single" w:sz="6" w:space="0" w:color="B1B4B6"/>
            </w:tcBorders>
            <w:tcMar>
              <w:top w:w="150" w:type="dxa"/>
              <w:left w:w="150" w:type="dxa"/>
              <w:bottom w:w="150" w:type="dxa"/>
              <w:right w:w="150" w:type="dxa"/>
            </w:tcMar>
            <w:hideMark/>
          </w:tcPr>
          <w:p w14:paraId="3EACA02A" w14:textId="77777777" w:rsidR="001B1CBE" w:rsidRPr="00C72932" w:rsidRDefault="001B1CBE" w:rsidP="00213810">
            <w:pPr>
              <w:spacing w:after="450"/>
              <w:jc w:val="right"/>
              <w:rPr>
                <w:rFonts w:eastAsia="Times New Roman"/>
                <w:color w:val="0B0C0C"/>
              </w:rPr>
            </w:pPr>
            <w:r w:rsidRPr="00C72932">
              <w:rPr>
                <w:rFonts w:eastAsia="Times New Roman"/>
                <w:color w:val="0B0C0C"/>
              </w:rPr>
              <w:t>45.7%</w:t>
            </w:r>
          </w:p>
        </w:tc>
        <w:tc>
          <w:tcPr>
            <w:tcW w:w="0" w:type="auto"/>
            <w:tcBorders>
              <w:bottom w:val="single" w:sz="6" w:space="0" w:color="B1B4B6"/>
            </w:tcBorders>
            <w:tcMar>
              <w:top w:w="150" w:type="dxa"/>
              <w:left w:w="150" w:type="dxa"/>
              <w:bottom w:w="150" w:type="dxa"/>
              <w:right w:w="150" w:type="dxa"/>
            </w:tcMar>
            <w:hideMark/>
          </w:tcPr>
          <w:p w14:paraId="7F8933A3" w14:textId="77777777" w:rsidR="001B1CBE" w:rsidRPr="00C72932" w:rsidRDefault="001B1CBE" w:rsidP="00213810">
            <w:pPr>
              <w:spacing w:after="450"/>
              <w:jc w:val="right"/>
              <w:rPr>
                <w:rFonts w:eastAsia="Times New Roman"/>
                <w:color w:val="0B0C0C"/>
              </w:rPr>
            </w:pPr>
            <w:r w:rsidRPr="00C72932">
              <w:rPr>
                <w:rFonts w:eastAsia="Times New Roman"/>
                <w:color w:val="0B0C0C"/>
              </w:rPr>
              <w:t>62.4%</w:t>
            </w:r>
          </w:p>
        </w:tc>
        <w:tc>
          <w:tcPr>
            <w:tcW w:w="0" w:type="auto"/>
            <w:tcBorders>
              <w:bottom w:val="single" w:sz="6" w:space="0" w:color="B1B4B6"/>
            </w:tcBorders>
            <w:tcMar>
              <w:top w:w="150" w:type="dxa"/>
              <w:left w:w="150" w:type="dxa"/>
              <w:bottom w:w="150" w:type="dxa"/>
              <w:right w:w="150" w:type="dxa"/>
            </w:tcMar>
            <w:hideMark/>
          </w:tcPr>
          <w:p w14:paraId="4D8EDFE3" w14:textId="77777777" w:rsidR="001B1CBE" w:rsidRPr="00C72932" w:rsidRDefault="001B1CBE" w:rsidP="00213810">
            <w:pPr>
              <w:spacing w:after="450"/>
              <w:jc w:val="right"/>
              <w:rPr>
                <w:rFonts w:eastAsia="Times New Roman"/>
                <w:color w:val="0B0C0C"/>
              </w:rPr>
            </w:pPr>
            <w:r w:rsidRPr="00C72932">
              <w:rPr>
                <w:rFonts w:eastAsia="Times New Roman"/>
                <w:color w:val="0B0C0C"/>
              </w:rPr>
              <w:t>41.8%</w:t>
            </w:r>
          </w:p>
        </w:tc>
        <w:tc>
          <w:tcPr>
            <w:tcW w:w="0" w:type="auto"/>
            <w:tcBorders>
              <w:bottom w:val="single" w:sz="6" w:space="0" w:color="B1B4B6"/>
            </w:tcBorders>
            <w:tcMar>
              <w:top w:w="150" w:type="dxa"/>
              <w:left w:w="150" w:type="dxa"/>
              <w:bottom w:w="150" w:type="dxa"/>
              <w:right w:w="150" w:type="dxa"/>
            </w:tcMar>
            <w:hideMark/>
          </w:tcPr>
          <w:p w14:paraId="7D2FE20D" w14:textId="77777777" w:rsidR="001B1CBE" w:rsidRPr="00C72932" w:rsidRDefault="001B1CBE" w:rsidP="00213810">
            <w:pPr>
              <w:spacing w:after="450"/>
              <w:jc w:val="right"/>
              <w:rPr>
                <w:rFonts w:eastAsia="Times New Roman"/>
                <w:color w:val="0B0C0C"/>
              </w:rPr>
            </w:pPr>
            <w:r w:rsidRPr="00C72932">
              <w:rPr>
                <w:rFonts w:eastAsia="Times New Roman"/>
                <w:color w:val="0B0C0C"/>
              </w:rPr>
              <w:t>51.0%</w:t>
            </w:r>
          </w:p>
        </w:tc>
        <w:tc>
          <w:tcPr>
            <w:tcW w:w="0" w:type="auto"/>
            <w:tcBorders>
              <w:bottom w:val="single" w:sz="6" w:space="0" w:color="B1B4B6"/>
            </w:tcBorders>
            <w:tcMar>
              <w:top w:w="150" w:type="dxa"/>
              <w:left w:w="150" w:type="dxa"/>
              <w:bottom w:w="150" w:type="dxa"/>
              <w:right w:w="150" w:type="dxa"/>
            </w:tcMar>
            <w:hideMark/>
          </w:tcPr>
          <w:p w14:paraId="30FFFDB7" w14:textId="77777777" w:rsidR="001B1CBE" w:rsidRPr="00C72932" w:rsidRDefault="001B1CBE" w:rsidP="00213810">
            <w:pPr>
              <w:spacing w:after="450"/>
              <w:jc w:val="right"/>
              <w:rPr>
                <w:rFonts w:eastAsia="Times New Roman"/>
                <w:color w:val="0B0C0C"/>
              </w:rPr>
            </w:pPr>
            <w:r w:rsidRPr="00C72932">
              <w:rPr>
                <w:rFonts w:eastAsia="Times New Roman"/>
                <w:color w:val="0B0C0C"/>
              </w:rPr>
              <w:t>35.7%</w:t>
            </w:r>
          </w:p>
        </w:tc>
      </w:tr>
      <w:tr w:rsidR="001B1CBE" w:rsidRPr="00C72932" w14:paraId="723464AF" w14:textId="77777777" w:rsidTr="00213810">
        <w:trPr>
          <w:tblCellSpacing w:w="15" w:type="dxa"/>
        </w:trPr>
        <w:tc>
          <w:tcPr>
            <w:tcW w:w="0" w:type="auto"/>
            <w:vMerge/>
            <w:tcBorders>
              <w:bottom w:val="single" w:sz="6" w:space="0" w:color="B1B4B6"/>
            </w:tcBorders>
            <w:vAlign w:val="center"/>
            <w:hideMark/>
          </w:tcPr>
          <w:p w14:paraId="2C66B427"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7B1A0B10" w14:textId="77777777" w:rsidR="001B1CBE" w:rsidRPr="00C72932" w:rsidRDefault="001B1CBE" w:rsidP="00213810">
            <w:pPr>
              <w:spacing w:after="450"/>
              <w:rPr>
                <w:rFonts w:eastAsia="Times New Roman"/>
                <w:color w:val="0B0C0C"/>
              </w:rPr>
            </w:pPr>
            <w:r w:rsidRPr="00C72932">
              <w:rPr>
                <w:rFonts w:eastAsia="Times New Roman"/>
                <w:color w:val="0B0C0C"/>
              </w:rPr>
              <w:t>2021/22</w:t>
            </w:r>
          </w:p>
        </w:tc>
        <w:tc>
          <w:tcPr>
            <w:tcW w:w="0" w:type="auto"/>
            <w:tcBorders>
              <w:bottom w:val="single" w:sz="6" w:space="0" w:color="B1B4B6"/>
            </w:tcBorders>
            <w:tcMar>
              <w:top w:w="150" w:type="dxa"/>
              <w:left w:w="150" w:type="dxa"/>
              <w:bottom w:w="150" w:type="dxa"/>
              <w:right w:w="150" w:type="dxa"/>
            </w:tcMar>
            <w:hideMark/>
          </w:tcPr>
          <w:p w14:paraId="31276F48" w14:textId="77777777" w:rsidR="001B1CBE" w:rsidRPr="00C72932" w:rsidRDefault="001B1CBE" w:rsidP="00213810">
            <w:pPr>
              <w:spacing w:after="450"/>
              <w:jc w:val="right"/>
              <w:rPr>
                <w:rFonts w:eastAsia="Times New Roman"/>
                <w:color w:val="0B0C0C"/>
              </w:rPr>
            </w:pPr>
            <w:r w:rsidRPr="00C72932">
              <w:rPr>
                <w:rFonts w:eastAsia="Times New Roman"/>
                <w:color w:val="0B0C0C"/>
              </w:rPr>
              <w:t>51.2%</w:t>
            </w:r>
          </w:p>
        </w:tc>
        <w:tc>
          <w:tcPr>
            <w:tcW w:w="0" w:type="auto"/>
            <w:tcBorders>
              <w:bottom w:val="single" w:sz="6" w:space="0" w:color="B1B4B6"/>
            </w:tcBorders>
            <w:tcMar>
              <w:top w:w="150" w:type="dxa"/>
              <w:left w:w="150" w:type="dxa"/>
              <w:bottom w:w="150" w:type="dxa"/>
              <w:right w:w="150" w:type="dxa"/>
            </w:tcMar>
            <w:hideMark/>
          </w:tcPr>
          <w:p w14:paraId="50E4EA68" w14:textId="77777777" w:rsidR="001B1CBE" w:rsidRPr="00C72932" w:rsidRDefault="001B1CBE" w:rsidP="00213810">
            <w:pPr>
              <w:spacing w:after="450"/>
              <w:jc w:val="right"/>
              <w:rPr>
                <w:rFonts w:eastAsia="Times New Roman"/>
                <w:color w:val="0B0C0C"/>
              </w:rPr>
            </w:pPr>
            <w:r w:rsidRPr="00C72932">
              <w:rPr>
                <w:rFonts w:eastAsia="Times New Roman"/>
                <w:color w:val="0B0C0C"/>
              </w:rPr>
              <w:t>46.7%</w:t>
            </w:r>
          </w:p>
        </w:tc>
        <w:tc>
          <w:tcPr>
            <w:tcW w:w="0" w:type="auto"/>
            <w:tcBorders>
              <w:bottom w:val="single" w:sz="6" w:space="0" w:color="B1B4B6"/>
            </w:tcBorders>
            <w:tcMar>
              <w:top w:w="150" w:type="dxa"/>
              <w:left w:w="150" w:type="dxa"/>
              <w:bottom w:w="150" w:type="dxa"/>
              <w:right w:w="150" w:type="dxa"/>
            </w:tcMar>
            <w:hideMark/>
          </w:tcPr>
          <w:p w14:paraId="79017C08" w14:textId="77777777" w:rsidR="001B1CBE" w:rsidRPr="00C72932" w:rsidRDefault="001B1CBE" w:rsidP="00213810">
            <w:pPr>
              <w:spacing w:after="450"/>
              <w:jc w:val="right"/>
              <w:rPr>
                <w:rFonts w:eastAsia="Times New Roman"/>
                <w:color w:val="0B0C0C"/>
              </w:rPr>
            </w:pPr>
            <w:r w:rsidRPr="00C72932">
              <w:rPr>
                <w:rFonts w:eastAsia="Times New Roman"/>
                <w:color w:val="0B0C0C"/>
              </w:rPr>
              <w:t>61.5%</w:t>
            </w:r>
          </w:p>
        </w:tc>
        <w:tc>
          <w:tcPr>
            <w:tcW w:w="0" w:type="auto"/>
            <w:tcBorders>
              <w:bottom w:val="single" w:sz="6" w:space="0" w:color="B1B4B6"/>
            </w:tcBorders>
            <w:tcMar>
              <w:top w:w="150" w:type="dxa"/>
              <w:left w:w="150" w:type="dxa"/>
              <w:bottom w:w="150" w:type="dxa"/>
              <w:right w:w="150" w:type="dxa"/>
            </w:tcMar>
            <w:hideMark/>
          </w:tcPr>
          <w:p w14:paraId="49004075" w14:textId="77777777" w:rsidR="001B1CBE" w:rsidRPr="00C72932" w:rsidRDefault="001B1CBE" w:rsidP="00213810">
            <w:pPr>
              <w:spacing w:after="450"/>
              <w:jc w:val="right"/>
              <w:rPr>
                <w:rFonts w:eastAsia="Times New Roman"/>
                <w:color w:val="0B0C0C"/>
              </w:rPr>
            </w:pPr>
            <w:r w:rsidRPr="00C72932">
              <w:rPr>
                <w:rFonts w:eastAsia="Times New Roman"/>
                <w:color w:val="0B0C0C"/>
              </w:rPr>
              <w:t>42.0%</w:t>
            </w:r>
          </w:p>
        </w:tc>
        <w:tc>
          <w:tcPr>
            <w:tcW w:w="0" w:type="auto"/>
            <w:tcBorders>
              <w:bottom w:val="single" w:sz="6" w:space="0" w:color="B1B4B6"/>
            </w:tcBorders>
            <w:tcMar>
              <w:top w:w="150" w:type="dxa"/>
              <w:left w:w="150" w:type="dxa"/>
              <w:bottom w:w="150" w:type="dxa"/>
              <w:right w:w="150" w:type="dxa"/>
            </w:tcMar>
            <w:hideMark/>
          </w:tcPr>
          <w:p w14:paraId="29B5A498" w14:textId="77777777" w:rsidR="001B1CBE" w:rsidRPr="00C72932" w:rsidRDefault="001B1CBE" w:rsidP="00213810">
            <w:pPr>
              <w:spacing w:after="450"/>
              <w:jc w:val="right"/>
              <w:rPr>
                <w:rFonts w:eastAsia="Times New Roman"/>
                <w:color w:val="0B0C0C"/>
              </w:rPr>
            </w:pPr>
            <w:r w:rsidRPr="00C72932">
              <w:rPr>
                <w:rFonts w:eastAsia="Times New Roman"/>
                <w:color w:val="0B0C0C"/>
              </w:rPr>
              <w:t>51.4%</w:t>
            </w:r>
          </w:p>
        </w:tc>
        <w:tc>
          <w:tcPr>
            <w:tcW w:w="0" w:type="auto"/>
            <w:tcBorders>
              <w:bottom w:val="single" w:sz="6" w:space="0" w:color="B1B4B6"/>
            </w:tcBorders>
            <w:tcMar>
              <w:top w:w="150" w:type="dxa"/>
              <w:left w:w="150" w:type="dxa"/>
              <w:bottom w:w="150" w:type="dxa"/>
              <w:right w:w="150" w:type="dxa"/>
            </w:tcMar>
            <w:hideMark/>
          </w:tcPr>
          <w:p w14:paraId="387817C3" w14:textId="77777777" w:rsidR="001B1CBE" w:rsidRPr="00C72932" w:rsidRDefault="001B1CBE" w:rsidP="00213810">
            <w:pPr>
              <w:spacing w:after="450"/>
              <w:jc w:val="right"/>
              <w:rPr>
                <w:rFonts w:eastAsia="Times New Roman"/>
                <w:color w:val="0B0C0C"/>
              </w:rPr>
            </w:pPr>
            <w:r w:rsidRPr="00C72932">
              <w:rPr>
                <w:rFonts w:eastAsia="Times New Roman"/>
                <w:color w:val="0B0C0C"/>
              </w:rPr>
              <w:t>35.4%</w:t>
            </w:r>
          </w:p>
        </w:tc>
      </w:tr>
      <w:tr w:rsidR="001B1CBE" w:rsidRPr="00C72932" w14:paraId="10EE7341"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5F078D66" w14:textId="77777777" w:rsidR="001B1CBE" w:rsidRPr="00C72932" w:rsidRDefault="001B1CBE" w:rsidP="00213810">
            <w:pPr>
              <w:spacing w:after="450"/>
              <w:rPr>
                <w:rFonts w:eastAsia="Times New Roman"/>
                <w:color w:val="0B0C0C"/>
              </w:rPr>
            </w:pPr>
            <w:r w:rsidRPr="00C72932">
              <w:rPr>
                <w:rFonts w:eastAsia="Times New Roman"/>
                <w:color w:val="0B0C0C"/>
              </w:rPr>
              <w:t>Percentage of pupils achieving grades 5 or above in English and mathematics GCSEs</w:t>
            </w:r>
          </w:p>
        </w:tc>
        <w:tc>
          <w:tcPr>
            <w:tcW w:w="0" w:type="auto"/>
            <w:tcBorders>
              <w:bottom w:val="single" w:sz="6" w:space="0" w:color="B1B4B6"/>
            </w:tcBorders>
            <w:shd w:val="clear" w:color="auto" w:fill="FFFFFF"/>
            <w:tcMar>
              <w:top w:w="150" w:type="dxa"/>
              <w:left w:w="0" w:type="dxa"/>
              <w:bottom w:w="150" w:type="dxa"/>
              <w:right w:w="300" w:type="dxa"/>
            </w:tcMar>
            <w:hideMark/>
          </w:tcPr>
          <w:p w14:paraId="3FC87DC3" w14:textId="77777777" w:rsidR="001B1CBE" w:rsidRPr="00C72932" w:rsidRDefault="001B1CBE" w:rsidP="00213810">
            <w:pPr>
              <w:spacing w:after="450"/>
              <w:rPr>
                <w:rFonts w:eastAsia="Times New Roman"/>
                <w:color w:val="0B0C0C"/>
              </w:rPr>
            </w:pPr>
            <w:r w:rsidRPr="00C72932">
              <w:rPr>
                <w:rFonts w:eastAsia="Times New Roman"/>
                <w:color w:val="0B0C0C"/>
              </w:rPr>
              <w:t>2018/19</w:t>
            </w:r>
          </w:p>
        </w:tc>
        <w:tc>
          <w:tcPr>
            <w:tcW w:w="0" w:type="auto"/>
            <w:tcBorders>
              <w:bottom w:val="single" w:sz="6" w:space="0" w:color="B1B4B6"/>
            </w:tcBorders>
            <w:tcMar>
              <w:top w:w="150" w:type="dxa"/>
              <w:left w:w="150" w:type="dxa"/>
              <w:bottom w:w="150" w:type="dxa"/>
              <w:right w:w="150" w:type="dxa"/>
            </w:tcMar>
            <w:hideMark/>
          </w:tcPr>
          <w:p w14:paraId="098D7769" w14:textId="77777777" w:rsidR="001B1CBE" w:rsidRPr="00C72932" w:rsidRDefault="001B1CBE" w:rsidP="00213810">
            <w:pPr>
              <w:spacing w:after="450"/>
              <w:jc w:val="right"/>
              <w:rPr>
                <w:rFonts w:eastAsia="Times New Roman"/>
                <w:color w:val="0B0C0C"/>
              </w:rPr>
            </w:pPr>
            <w:r w:rsidRPr="00C72932">
              <w:rPr>
                <w:rFonts w:eastAsia="Times New Roman"/>
                <w:color w:val="0B0C0C"/>
              </w:rPr>
              <w:t>51.9%</w:t>
            </w:r>
          </w:p>
        </w:tc>
        <w:tc>
          <w:tcPr>
            <w:tcW w:w="0" w:type="auto"/>
            <w:tcBorders>
              <w:bottom w:val="single" w:sz="6" w:space="0" w:color="B1B4B6"/>
            </w:tcBorders>
            <w:tcMar>
              <w:top w:w="150" w:type="dxa"/>
              <w:left w:w="150" w:type="dxa"/>
              <w:bottom w:w="150" w:type="dxa"/>
              <w:right w:w="150" w:type="dxa"/>
            </w:tcMar>
            <w:hideMark/>
          </w:tcPr>
          <w:p w14:paraId="132ABB42" w14:textId="77777777" w:rsidR="001B1CBE" w:rsidRPr="00C72932" w:rsidRDefault="001B1CBE" w:rsidP="00213810">
            <w:pPr>
              <w:spacing w:after="450"/>
              <w:jc w:val="right"/>
              <w:rPr>
                <w:rFonts w:eastAsia="Times New Roman"/>
                <w:color w:val="0B0C0C"/>
              </w:rPr>
            </w:pPr>
            <w:r w:rsidRPr="00C72932">
              <w:rPr>
                <w:rFonts w:eastAsia="Times New Roman"/>
                <w:color w:val="0B0C0C"/>
              </w:rPr>
              <w:t>37.8%</w:t>
            </w:r>
          </w:p>
        </w:tc>
        <w:tc>
          <w:tcPr>
            <w:tcW w:w="0" w:type="auto"/>
            <w:tcBorders>
              <w:bottom w:val="single" w:sz="6" w:space="0" w:color="B1B4B6"/>
            </w:tcBorders>
            <w:tcMar>
              <w:top w:w="150" w:type="dxa"/>
              <w:left w:w="150" w:type="dxa"/>
              <w:bottom w:w="150" w:type="dxa"/>
              <w:right w:w="150" w:type="dxa"/>
            </w:tcMar>
            <w:hideMark/>
          </w:tcPr>
          <w:p w14:paraId="695E8AB9" w14:textId="77777777" w:rsidR="001B1CBE" w:rsidRPr="00C72932" w:rsidRDefault="001B1CBE" w:rsidP="00213810">
            <w:pPr>
              <w:spacing w:after="450"/>
              <w:jc w:val="right"/>
              <w:rPr>
                <w:rFonts w:eastAsia="Times New Roman"/>
                <w:color w:val="0B0C0C"/>
              </w:rPr>
            </w:pPr>
            <w:r w:rsidRPr="00C72932">
              <w:rPr>
                <w:rFonts w:eastAsia="Times New Roman"/>
                <w:color w:val="0B0C0C"/>
              </w:rPr>
              <w:t>76.3%</w:t>
            </w:r>
          </w:p>
        </w:tc>
        <w:tc>
          <w:tcPr>
            <w:tcW w:w="0" w:type="auto"/>
            <w:tcBorders>
              <w:bottom w:val="single" w:sz="6" w:space="0" w:color="B1B4B6"/>
            </w:tcBorders>
            <w:tcMar>
              <w:top w:w="150" w:type="dxa"/>
              <w:left w:w="150" w:type="dxa"/>
              <w:bottom w:w="150" w:type="dxa"/>
              <w:right w:w="150" w:type="dxa"/>
            </w:tcMar>
            <w:hideMark/>
          </w:tcPr>
          <w:p w14:paraId="6AFCBA70" w14:textId="77777777" w:rsidR="001B1CBE" w:rsidRPr="00C72932" w:rsidRDefault="001B1CBE" w:rsidP="00213810">
            <w:pPr>
              <w:spacing w:after="450"/>
              <w:jc w:val="right"/>
              <w:rPr>
                <w:rFonts w:eastAsia="Times New Roman"/>
                <w:color w:val="0B0C0C"/>
              </w:rPr>
            </w:pPr>
            <w:r w:rsidRPr="00C72932">
              <w:rPr>
                <w:rFonts w:eastAsia="Times New Roman"/>
                <w:color w:val="0B0C0C"/>
              </w:rPr>
              <w:t>43.8%</w:t>
            </w:r>
          </w:p>
        </w:tc>
        <w:tc>
          <w:tcPr>
            <w:tcW w:w="0" w:type="auto"/>
            <w:tcBorders>
              <w:bottom w:val="single" w:sz="6" w:space="0" w:color="B1B4B6"/>
            </w:tcBorders>
            <w:tcMar>
              <w:top w:w="150" w:type="dxa"/>
              <w:left w:w="150" w:type="dxa"/>
              <w:bottom w:w="150" w:type="dxa"/>
              <w:right w:w="150" w:type="dxa"/>
            </w:tcMar>
            <w:hideMark/>
          </w:tcPr>
          <w:p w14:paraId="7C8955B7" w14:textId="77777777" w:rsidR="001B1CBE" w:rsidRPr="00C72932" w:rsidRDefault="001B1CBE" w:rsidP="00213810">
            <w:pPr>
              <w:spacing w:after="450"/>
              <w:jc w:val="right"/>
              <w:rPr>
                <w:rFonts w:eastAsia="Times New Roman"/>
                <w:color w:val="0B0C0C"/>
              </w:rPr>
            </w:pPr>
            <w:r w:rsidRPr="00C72932">
              <w:rPr>
                <w:rFonts w:eastAsia="Times New Roman"/>
                <w:color w:val="0B0C0C"/>
              </w:rPr>
              <w:t>43.4%</w:t>
            </w:r>
          </w:p>
        </w:tc>
        <w:tc>
          <w:tcPr>
            <w:tcW w:w="0" w:type="auto"/>
            <w:tcBorders>
              <w:bottom w:val="single" w:sz="6" w:space="0" w:color="B1B4B6"/>
            </w:tcBorders>
            <w:tcMar>
              <w:top w:w="150" w:type="dxa"/>
              <w:left w:w="150" w:type="dxa"/>
              <w:bottom w:w="150" w:type="dxa"/>
              <w:right w:w="150" w:type="dxa"/>
            </w:tcMar>
            <w:hideMark/>
          </w:tcPr>
          <w:p w14:paraId="3BAA5793" w14:textId="77777777" w:rsidR="001B1CBE" w:rsidRPr="00C72932" w:rsidRDefault="001B1CBE" w:rsidP="00213810">
            <w:pPr>
              <w:spacing w:after="450"/>
              <w:jc w:val="right"/>
              <w:rPr>
                <w:rFonts w:eastAsia="Times New Roman"/>
                <w:color w:val="0B0C0C"/>
              </w:rPr>
            </w:pPr>
            <w:r w:rsidRPr="00C72932">
              <w:rPr>
                <w:rFonts w:eastAsia="Times New Roman"/>
                <w:color w:val="0B0C0C"/>
              </w:rPr>
              <w:t>42.4%</w:t>
            </w:r>
          </w:p>
        </w:tc>
      </w:tr>
      <w:tr w:rsidR="001B1CBE" w:rsidRPr="00C72932" w14:paraId="7EBE5FCA" w14:textId="77777777" w:rsidTr="00213810">
        <w:trPr>
          <w:tblCellSpacing w:w="15" w:type="dxa"/>
        </w:trPr>
        <w:tc>
          <w:tcPr>
            <w:tcW w:w="0" w:type="auto"/>
            <w:vMerge/>
            <w:tcBorders>
              <w:bottom w:val="single" w:sz="6" w:space="0" w:color="B1B4B6"/>
            </w:tcBorders>
            <w:vAlign w:val="center"/>
            <w:hideMark/>
          </w:tcPr>
          <w:p w14:paraId="26C837B7"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A0E3CAC" w14:textId="77777777" w:rsidR="001B1CBE" w:rsidRPr="00C72932" w:rsidRDefault="001B1CBE" w:rsidP="00213810">
            <w:pPr>
              <w:spacing w:after="450"/>
              <w:rPr>
                <w:rFonts w:eastAsia="Times New Roman"/>
                <w:color w:val="0B0C0C"/>
              </w:rPr>
            </w:pPr>
            <w:r w:rsidRPr="00C72932">
              <w:rPr>
                <w:rFonts w:eastAsia="Times New Roman"/>
                <w:color w:val="0B0C0C"/>
              </w:rPr>
              <w:t>2019/20</w:t>
            </w:r>
          </w:p>
        </w:tc>
        <w:tc>
          <w:tcPr>
            <w:tcW w:w="0" w:type="auto"/>
            <w:tcBorders>
              <w:bottom w:val="single" w:sz="6" w:space="0" w:color="B1B4B6"/>
            </w:tcBorders>
            <w:tcMar>
              <w:top w:w="150" w:type="dxa"/>
              <w:left w:w="150" w:type="dxa"/>
              <w:bottom w:w="150" w:type="dxa"/>
              <w:right w:w="150" w:type="dxa"/>
            </w:tcMar>
            <w:hideMark/>
          </w:tcPr>
          <w:p w14:paraId="3F3A807B" w14:textId="77777777" w:rsidR="001B1CBE" w:rsidRPr="00C72932" w:rsidRDefault="001B1CBE" w:rsidP="00213810">
            <w:pPr>
              <w:spacing w:after="450"/>
              <w:jc w:val="right"/>
              <w:rPr>
                <w:rFonts w:eastAsia="Times New Roman"/>
                <w:color w:val="0B0C0C"/>
              </w:rPr>
            </w:pPr>
            <w:r w:rsidRPr="00C72932">
              <w:rPr>
                <w:rFonts w:eastAsia="Times New Roman"/>
                <w:color w:val="0B0C0C"/>
              </w:rPr>
              <w:t>58.3%</w:t>
            </w:r>
          </w:p>
        </w:tc>
        <w:tc>
          <w:tcPr>
            <w:tcW w:w="0" w:type="auto"/>
            <w:tcBorders>
              <w:bottom w:val="single" w:sz="6" w:space="0" w:color="B1B4B6"/>
            </w:tcBorders>
            <w:tcMar>
              <w:top w:w="150" w:type="dxa"/>
              <w:left w:w="150" w:type="dxa"/>
              <w:bottom w:w="150" w:type="dxa"/>
              <w:right w:w="150" w:type="dxa"/>
            </w:tcMar>
            <w:hideMark/>
          </w:tcPr>
          <w:p w14:paraId="425FBB09" w14:textId="77777777" w:rsidR="001B1CBE" w:rsidRPr="00C72932" w:rsidRDefault="001B1CBE" w:rsidP="00213810">
            <w:pPr>
              <w:spacing w:after="450"/>
              <w:jc w:val="right"/>
              <w:rPr>
                <w:rFonts w:eastAsia="Times New Roman"/>
                <w:color w:val="0B0C0C"/>
              </w:rPr>
            </w:pPr>
            <w:r w:rsidRPr="00C72932">
              <w:rPr>
                <w:rFonts w:eastAsia="Times New Roman"/>
                <w:color w:val="0B0C0C"/>
              </w:rPr>
              <w:t>46.0%</w:t>
            </w:r>
          </w:p>
        </w:tc>
        <w:tc>
          <w:tcPr>
            <w:tcW w:w="0" w:type="auto"/>
            <w:tcBorders>
              <w:bottom w:val="single" w:sz="6" w:space="0" w:color="B1B4B6"/>
            </w:tcBorders>
            <w:tcMar>
              <w:top w:w="150" w:type="dxa"/>
              <w:left w:w="150" w:type="dxa"/>
              <w:bottom w:w="150" w:type="dxa"/>
              <w:right w:w="150" w:type="dxa"/>
            </w:tcMar>
            <w:hideMark/>
          </w:tcPr>
          <w:p w14:paraId="6D9725A1" w14:textId="77777777" w:rsidR="001B1CBE" w:rsidRPr="00C72932" w:rsidRDefault="001B1CBE" w:rsidP="00213810">
            <w:pPr>
              <w:spacing w:after="450"/>
              <w:jc w:val="right"/>
              <w:rPr>
                <w:rFonts w:eastAsia="Times New Roman"/>
                <w:color w:val="0B0C0C"/>
              </w:rPr>
            </w:pPr>
            <w:r w:rsidRPr="00C72932">
              <w:rPr>
                <w:rFonts w:eastAsia="Times New Roman"/>
                <w:color w:val="0B0C0C"/>
              </w:rPr>
              <w:t>79.6%</w:t>
            </w:r>
          </w:p>
        </w:tc>
        <w:tc>
          <w:tcPr>
            <w:tcW w:w="0" w:type="auto"/>
            <w:tcBorders>
              <w:bottom w:val="single" w:sz="6" w:space="0" w:color="B1B4B6"/>
            </w:tcBorders>
            <w:tcMar>
              <w:top w:w="150" w:type="dxa"/>
              <w:left w:w="150" w:type="dxa"/>
              <w:bottom w:w="150" w:type="dxa"/>
              <w:right w:w="150" w:type="dxa"/>
            </w:tcMar>
            <w:hideMark/>
          </w:tcPr>
          <w:p w14:paraId="5A8B77C4" w14:textId="77777777" w:rsidR="001B1CBE" w:rsidRPr="00C72932" w:rsidRDefault="001B1CBE" w:rsidP="00213810">
            <w:pPr>
              <w:spacing w:after="450"/>
              <w:jc w:val="right"/>
              <w:rPr>
                <w:rFonts w:eastAsia="Times New Roman"/>
                <w:color w:val="0B0C0C"/>
              </w:rPr>
            </w:pPr>
            <w:r w:rsidRPr="00C72932">
              <w:rPr>
                <w:rFonts w:eastAsia="Times New Roman"/>
                <w:color w:val="0B0C0C"/>
              </w:rPr>
              <w:t>50.2%</w:t>
            </w:r>
          </w:p>
        </w:tc>
        <w:tc>
          <w:tcPr>
            <w:tcW w:w="0" w:type="auto"/>
            <w:tcBorders>
              <w:bottom w:val="single" w:sz="6" w:space="0" w:color="B1B4B6"/>
            </w:tcBorders>
            <w:tcMar>
              <w:top w:w="150" w:type="dxa"/>
              <w:left w:w="150" w:type="dxa"/>
              <w:bottom w:w="150" w:type="dxa"/>
              <w:right w:w="150" w:type="dxa"/>
            </w:tcMar>
            <w:hideMark/>
          </w:tcPr>
          <w:p w14:paraId="337E71CC" w14:textId="77777777" w:rsidR="001B1CBE" w:rsidRPr="00C72932" w:rsidRDefault="001B1CBE" w:rsidP="00213810">
            <w:pPr>
              <w:spacing w:after="450"/>
              <w:jc w:val="right"/>
              <w:rPr>
                <w:rFonts w:eastAsia="Times New Roman"/>
                <w:color w:val="0B0C0C"/>
              </w:rPr>
            </w:pPr>
            <w:r w:rsidRPr="00C72932">
              <w:rPr>
                <w:rFonts w:eastAsia="Times New Roman"/>
                <w:color w:val="0B0C0C"/>
              </w:rPr>
              <w:t>50.5%</w:t>
            </w:r>
          </w:p>
        </w:tc>
        <w:tc>
          <w:tcPr>
            <w:tcW w:w="0" w:type="auto"/>
            <w:tcBorders>
              <w:bottom w:val="single" w:sz="6" w:space="0" w:color="B1B4B6"/>
            </w:tcBorders>
            <w:tcMar>
              <w:top w:w="150" w:type="dxa"/>
              <w:left w:w="150" w:type="dxa"/>
              <w:bottom w:w="150" w:type="dxa"/>
              <w:right w:w="150" w:type="dxa"/>
            </w:tcMar>
            <w:hideMark/>
          </w:tcPr>
          <w:p w14:paraId="14E05F8D" w14:textId="77777777" w:rsidR="001B1CBE" w:rsidRPr="00C72932" w:rsidRDefault="001B1CBE" w:rsidP="00213810">
            <w:pPr>
              <w:spacing w:after="450"/>
              <w:jc w:val="right"/>
              <w:rPr>
                <w:rFonts w:eastAsia="Times New Roman"/>
                <w:color w:val="0B0C0C"/>
              </w:rPr>
            </w:pPr>
            <w:r w:rsidRPr="00C72932">
              <w:rPr>
                <w:rFonts w:eastAsia="Times New Roman"/>
                <w:color w:val="0B0C0C"/>
              </w:rPr>
              <w:t>49.1%</w:t>
            </w:r>
          </w:p>
        </w:tc>
      </w:tr>
      <w:tr w:rsidR="001B1CBE" w:rsidRPr="00C72932" w14:paraId="31EC0C45" w14:textId="77777777" w:rsidTr="00213810">
        <w:trPr>
          <w:tblCellSpacing w:w="15" w:type="dxa"/>
        </w:trPr>
        <w:tc>
          <w:tcPr>
            <w:tcW w:w="0" w:type="auto"/>
            <w:vMerge/>
            <w:tcBorders>
              <w:bottom w:val="single" w:sz="6" w:space="0" w:color="B1B4B6"/>
            </w:tcBorders>
            <w:vAlign w:val="center"/>
            <w:hideMark/>
          </w:tcPr>
          <w:p w14:paraId="686DB1BB"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53483BC2" w14:textId="77777777" w:rsidR="001B1CBE" w:rsidRPr="00C72932" w:rsidRDefault="001B1CBE" w:rsidP="00213810">
            <w:pPr>
              <w:spacing w:after="450"/>
              <w:rPr>
                <w:rFonts w:eastAsia="Times New Roman"/>
                <w:color w:val="0B0C0C"/>
              </w:rPr>
            </w:pPr>
            <w:r w:rsidRPr="00C72932">
              <w:rPr>
                <w:rFonts w:eastAsia="Times New Roman"/>
                <w:color w:val="0B0C0C"/>
              </w:rPr>
              <w:t>2020/21</w:t>
            </w:r>
          </w:p>
        </w:tc>
        <w:tc>
          <w:tcPr>
            <w:tcW w:w="0" w:type="auto"/>
            <w:tcBorders>
              <w:bottom w:val="single" w:sz="6" w:space="0" w:color="B1B4B6"/>
            </w:tcBorders>
            <w:tcMar>
              <w:top w:w="150" w:type="dxa"/>
              <w:left w:w="150" w:type="dxa"/>
              <w:bottom w:w="150" w:type="dxa"/>
              <w:right w:w="150" w:type="dxa"/>
            </w:tcMar>
            <w:hideMark/>
          </w:tcPr>
          <w:p w14:paraId="15295FBD" w14:textId="77777777" w:rsidR="001B1CBE" w:rsidRPr="00C72932" w:rsidRDefault="001B1CBE" w:rsidP="00213810">
            <w:pPr>
              <w:spacing w:after="450"/>
              <w:jc w:val="right"/>
              <w:rPr>
                <w:rFonts w:eastAsia="Times New Roman"/>
                <w:color w:val="0B0C0C"/>
              </w:rPr>
            </w:pPr>
            <w:r w:rsidRPr="00C72932">
              <w:rPr>
                <w:rFonts w:eastAsia="Times New Roman"/>
                <w:color w:val="0B0C0C"/>
              </w:rPr>
              <w:t>60.6%</w:t>
            </w:r>
          </w:p>
        </w:tc>
        <w:tc>
          <w:tcPr>
            <w:tcW w:w="0" w:type="auto"/>
            <w:tcBorders>
              <w:bottom w:val="single" w:sz="6" w:space="0" w:color="B1B4B6"/>
            </w:tcBorders>
            <w:tcMar>
              <w:top w:w="150" w:type="dxa"/>
              <w:left w:w="150" w:type="dxa"/>
              <w:bottom w:w="150" w:type="dxa"/>
              <w:right w:w="150" w:type="dxa"/>
            </w:tcMar>
            <w:hideMark/>
          </w:tcPr>
          <w:p w14:paraId="6F4A9C77" w14:textId="77777777" w:rsidR="001B1CBE" w:rsidRPr="00C72932" w:rsidRDefault="001B1CBE" w:rsidP="00213810">
            <w:pPr>
              <w:spacing w:after="450"/>
              <w:jc w:val="right"/>
              <w:rPr>
                <w:rFonts w:eastAsia="Times New Roman"/>
                <w:color w:val="0B0C0C"/>
              </w:rPr>
            </w:pPr>
            <w:r w:rsidRPr="00C72932">
              <w:rPr>
                <w:rFonts w:eastAsia="Times New Roman"/>
                <w:color w:val="0B0C0C"/>
              </w:rPr>
              <w:t>48.9%</w:t>
            </w:r>
          </w:p>
        </w:tc>
        <w:tc>
          <w:tcPr>
            <w:tcW w:w="0" w:type="auto"/>
            <w:tcBorders>
              <w:bottom w:val="single" w:sz="6" w:space="0" w:color="B1B4B6"/>
            </w:tcBorders>
            <w:tcMar>
              <w:top w:w="150" w:type="dxa"/>
              <w:left w:w="150" w:type="dxa"/>
              <w:bottom w:w="150" w:type="dxa"/>
              <w:right w:w="150" w:type="dxa"/>
            </w:tcMar>
            <w:hideMark/>
          </w:tcPr>
          <w:p w14:paraId="1C617406" w14:textId="77777777" w:rsidR="001B1CBE" w:rsidRPr="00C72932" w:rsidRDefault="001B1CBE" w:rsidP="00213810">
            <w:pPr>
              <w:spacing w:after="450"/>
              <w:jc w:val="right"/>
              <w:rPr>
                <w:rFonts w:eastAsia="Times New Roman"/>
                <w:color w:val="0B0C0C"/>
              </w:rPr>
            </w:pPr>
            <w:r w:rsidRPr="00C72932">
              <w:rPr>
                <w:rFonts w:eastAsia="Times New Roman"/>
                <w:color w:val="0B0C0C"/>
              </w:rPr>
              <w:t>83.8%</w:t>
            </w:r>
          </w:p>
        </w:tc>
        <w:tc>
          <w:tcPr>
            <w:tcW w:w="0" w:type="auto"/>
            <w:tcBorders>
              <w:bottom w:val="single" w:sz="6" w:space="0" w:color="B1B4B6"/>
            </w:tcBorders>
            <w:tcMar>
              <w:top w:w="150" w:type="dxa"/>
              <w:left w:w="150" w:type="dxa"/>
              <w:bottom w:w="150" w:type="dxa"/>
              <w:right w:w="150" w:type="dxa"/>
            </w:tcMar>
            <w:hideMark/>
          </w:tcPr>
          <w:p w14:paraId="61ACC825" w14:textId="77777777" w:rsidR="001B1CBE" w:rsidRPr="00C72932" w:rsidRDefault="001B1CBE" w:rsidP="00213810">
            <w:pPr>
              <w:spacing w:after="450"/>
              <w:jc w:val="right"/>
              <w:rPr>
                <w:rFonts w:eastAsia="Times New Roman"/>
                <w:color w:val="0B0C0C"/>
              </w:rPr>
            </w:pPr>
            <w:r w:rsidRPr="00C72932">
              <w:rPr>
                <w:rFonts w:eastAsia="Times New Roman"/>
                <w:color w:val="0B0C0C"/>
              </w:rPr>
              <w:t>51.5%</w:t>
            </w:r>
          </w:p>
        </w:tc>
        <w:tc>
          <w:tcPr>
            <w:tcW w:w="0" w:type="auto"/>
            <w:tcBorders>
              <w:bottom w:val="single" w:sz="6" w:space="0" w:color="B1B4B6"/>
            </w:tcBorders>
            <w:tcMar>
              <w:top w:w="150" w:type="dxa"/>
              <w:left w:w="150" w:type="dxa"/>
              <w:bottom w:w="150" w:type="dxa"/>
              <w:right w:w="150" w:type="dxa"/>
            </w:tcMar>
            <w:hideMark/>
          </w:tcPr>
          <w:p w14:paraId="3C871599" w14:textId="77777777" w:rsidR="001B1CBE" w:rsidRPr="00C72932" w:rsidRDefault="001B1CBE" w:rsidP="00213810">
            <w:pPr>
              <w:spacing w:after="450"/>
              <w:jc w:val="right"/>
              <w:rPr>
                <w:rFonts w:eastAsia="Times New Roman"/>
                <w:color w:val="0B0C0C"/>
              </w:rPr>
            </w:pPr>
            <w:r w:rsidRPr="00C72932">
              <w:rPr>
                <w:rFonts w:eastAsia="Times New Roman"/>
                <w:color w:val="0B0C0C"/>
              </w:rPr>
              <w:t>53.1%</w:t>
            </w:r>
          </w:p>
        </w:tc>
        <w:tc>
          <w:tcPr>
            <w:tcW w:w="0" w:type="auto"/>
            <w:tcBorders>
              <w:bottom w:val="single" w:sz="6" w:space="0" w:color="B1B4B6"/>
            </w:tcBorders>
            <w:tcMar>
              <w:top w:w="150" w:type="dxa"/>
              <w:left w:w="150" w:type="dxa"/>
              <w:bottom w:w="150" w:type="dxa"/>
              <w:right w:w="150" w:type="dxa"/>
            </w:tcMar>
            <w:hideMark/>
          </w:tcPr>
          <w:p w14:paraId="2554667A" w14:textId="77777777" w:rsidR="001B1CBE" w:rsidRPr="00C72932" w:rsidRDefault="001B1CBE" w:rsidP="00213810">
            <w:pPr>
              <w:spacing w:after="450"/>
              <w:jc w:val="right"/>
              <w:rPr>
                <w:rFonts w:eastAsia="Times New Roman"/>
                <w:color w:val="0B0C0C"/>
              </w:rPr>
            </w:pPr>
            <w:r w:rsidRPr="00C72932">
              <w:rPr>
                <w:rFonts w:eastAsia="Times New Roman"/>
                <w:color w:val="0B0C0C"/>
              </w:rPr>
              <w:t>50.9%</w:t>
            </w:r>
          </w:p>
        </w:tc>
      </w:tr>
      <w:tr w:rsidR="001B1CBE" w:rsidRPr="00C72932" w14:paraId="0795E92E" w14:textId="77777777" w:rsidTr="00213810">
        <w:trPr>
          <w:tblCellSpacing w:w="15" w:type="dxa"/>
        </w:trPr>
        <w:tc>
          <w:tcPr>
            <w:tcW w:w="0" w:type="auto"/>
            <w:vMerge/>
            <w:tcBorders>
              <w:bottom w:val="single" w:sz="6" w:space="0" w:color="B1B4B6"/>
            </w:tcBorders>
            <w:vAlign w:val="center"/>
            <w:hideMark/>
          </w:tcPr>
          <w:p w14:paraId="479F8483"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4DAB8070" w14:textId="77777777" w:rsidR="001B1CBE" w:rsidRPr="00C72932" w:rsidRDefault="001B1CBE" w:rsidP="00213810">
            <w:pPr>
              <w:spacing w:after="450"/>
              <w:rPr>
                <w:rFonts w:eastAsia="Times New Roman"/>
                <w:color w:val="0B0C0C"/>
              </w:rPr>
            </w:pPr>
            <w:r w:rsidRPr="00C72932">
              <w:rPr>
                <w:rFonts w:eastAsia="Times New Roman"/>
                <w:color w:val="0B0C0C"/>
              </w:rPr>
              <w:t>2021/22</w:t>
            </w:r>
          </w:p>
        </w:tc>
        <w:tc>
          <w:tcPr>
            <w:tcW w:w="0" w:type="auto"/>
            <w:tcBorders>
              <w:bottom w:val="single" w:sz="6" w:space="0" w:color="B1B4B6"/>
            </w:tcBorders>
            <w:tcMar>
              <w:top w:w="150" w:type="dxa"/>
              <w:left w:w="150" w:type="dxa"/>
              <w:bottom w:w="150" w:type="dxa"/>
              <w:right w:w="150" w:type="dxa"/>
            </w:tcMar>
            <w:hideMark/>
          </w:tcPr>
          <w:p w14:paraId="476B2347" w14:textId="77777777" w:rsidR="001B1CBE" w:rsidRPr="00C72932" w:rsidRDefault="001B1CBE" w:rsidP="00213810">
            <w:pPr>
              <w:spacing w:after="450"/>
              <w:jc w:val="right"/>
              <w:rPr>
                <w:rFonts w:eastAsia="Times New Roman"/>
                <w:color w:val="0B0C0C"/>
              </w:rPr>
            </w:pPr>
            <w:r w:rsidRPr="00C72932">
              <w:rPr>
                <w:rFonts w:eastAsia="Times New Roman"/>
                <w:color w:val="0B0C0C"/>
              </w:rPr>
              <w:t>61.3%</w:t>
            </w:r>
          </w:p>
        </w:tc>
        <w:tc>
          <w:tcPr>
            <w:tcW w:w="0" w:type="auto"/>
            <w:tcBorders>
              <w:bottom w:val="single" w:sz="6" w:space="0" w:color="B1B4B6"/>
            </w:tcBorders>
            <w:tcMar>
              <w:top w:w="150" w:type="dxa"/>
              <w:left w:w="150" w:type="dxa"/>
              <w:bottom w:w="150" w:type="dxa"/>
              <w:right w:w="150" w:type="dxa"/>
            </w:tcMar>
            <w:hideMark/>
          </w:tcPr>
          <w:p w14:paraId="7435256B" w14:textId="77777777" w:rsidR="001B1CBE" w:rsidRPr="00C72932" w:rsidRDefault="001B1CBE" w:rsidP="00213810">
            <w:pPr>
              <w:spacing w:after="450"/>
              <w:jc w:val="right"/>
              <w:rPr>
                <w:rFonts w:eastAsia="Times New Roman"/>
                <w:color w:val="0B0C0C"/>
              </w:rPr>
            </w:pPr>
            <w:r w:rsidRPr="00C72932">
              <w:rPr>
                <w:rFonts w:eastAsia="Times New Roman"/>
                <w:color w:val="0B0C0C"/>
              </w:rPr>
              <w:t>49.2%</w:t>
            </w:r>
          </w:p>
        </w:tc>
        <w:tc>
          <w:tcPr>
            <w:tcW w:w="0" w:type="auto"/>
            <w:tcBorders>
              <w:bottom w:val="single" w:sz="6" w:space="0" w:color="B1B4B6"/>
            </w:tcBorders>
            <w:tcMar>
              <w:top w:w="150" w:type="dxa"/>
              <w:left w:w="150" w:type="dxa"/>
              <w:bottom w:w="150" w:type="dxa"/>
              <w:right w:w="150" w:type="dxa"/>
            </w:tcMar>
            <w:hideMark/>
          </w:tcPr>
          <w:p w14:paraId="35E976C7" w14:textId="77777777" w:rsidR="001B1CBE" w:rsidRPr="00C72932" w:rsidRDefault="001B1CBE" w:rsidP="00213810">
            <w:pPr>
              <w:spacing w:after="450"/>
              <w:jc w:val="right"/>
              <w:rPr>
                <w:rFonts w:eastAsia="Times New Roman"/>
                <w:color w:val="0B0C0C"/>
              </w:rPr>
            </w:pPr>
            <w:r w:rsidRPr="00C72932">
              <w:rPr>
                <w:rFonts w:eastAsia="Times New Roman"/>
                <w:color w:val="0B0C0C"/>
              </w:rPr>
              <w:t>79.9%</w:t>
            </w:r>
          </w:p>
        </w:tc>
        <w:tc>
          <w:tcPr>
            <w:tcW w:w="0" w:type="auto"/>
            <w:tcBorders>
              <w:bottom w:val="single" w:sz="6" w:space="0" w:color="B1B4B6"/>
            </w:tcBorders>
            <w:tcMar>
              <w:top w:w="150" w:type="dxa"/>
              <w:left w:w="150" w:type="dxa"/>
              <w:bottom w:w="150" w:type="dxa"/>
              <w:right w:w="150" w:type="dxa"/>
            </w:tcMar>
            <w:hideMark/>
          </w:tcPr>
          <w:p w14:paraId="587E8257" w14:textId="77777777" w:rsidR="001B1CBE" w:rsidRPr="00C72932" w:rsidRDefault="001B1CBE" w:rsidP="00213810">
            <w:pPr>
              <w:spacing w:after="450"/>
              <w:jc w:val="right"/>
              <w:rPr>
                <w:rFonts w:eastAsia="Times New Roman"/>
                <w:color w:val="0B0C0C"/>
              </w:rPr>
            </w:pPr>
            <w:r w:rsidRPr="00C72932">
              <w:rPr>
                <w:rFonts w:eastAsia="Times New Roman"/>
                <w:color w:val="0B0C0C"/>
              </w:rPr>
              <w:t>49.7%</w:t>
            </w:r>
          </w:p>
        </w:tc>
        <w:tc>
          <w:tcPr>
            <w:tcW w:w="0" w:type="auto"/>
            <w:tcBorders>
              <w:bottom w:val="single" w:sz="6" w:space="0" w:color="B1B4B6"/>
            </w:tcBorders>
            <w:tcMar>
              <w:top w:w="150" w:type="dxa"/>
              <w:left w:w="150" w:type="dxa"/>
              <w:bottom w:w="150" w:type="dxa"/>
              <w:right w:w="150" w:type="dxa"/>
            </w:tcMar>
            <w:hideMark/>
          </w:tcPr>
          <w:p w14:paraId="085B197A" w14:textId="77777777" w:rsidR="001B1CBE" w:rsidRPr="00C72932" w:rsidRDefault="001B1CBE" w:rsidP="00213810">
            <w:pPr>
              <w:spacing w:after="450"/>
              <w:jc w:val="right"/>
              <w:rPr>
                <w:rFonts w:eastAsia="Times New Roman"/>
                <w:color w:val="0B0C0C"/>
              </w:rPr>
            </w:pPr>
            <w:r w:rsidRPr="00C72932">
              <w:rPr>
                <w:rFonts w:eastAsia="Times New Roman"/>
                <w:color w:val="0B0C0C"/>
              </w:rPr>
              <w:t>51.9%</w:t>
            </w:r>
          </w:p>
        </w:tc>
        <w:tc>
          <w:tcPr>
            <w:tcW w:w="0" w:type="auto"/>
            <w:tcBorders>
              <w:bottom w:val="single" w:sz="6" w:space="0" w:color="B1B4B6"/>
            </w:tcBorders>
            <w:tcMar>
              <w:top w:w="150" w:type="dxa"/>
              <w:left w:w="150" w:type="dxa"/>
              <w:bottom w:w="150" w:type="dxa"/>
              <w:right w:w="150" w:type="dxa"/>
            </w:tcMar>
            <w:hideMark/>
          </w:tcPr>
          <w:p w14:paraId="29ED16F1" w14:textId="77777777" w:rsidR="001B1CBE" w:rsidRPr="00C72932" w:rsidRDefault="001B1CBE" w:rsidP="00213810">
            <w:pPr>
              <w:spacing w:after="450"/>
              <w:jc w:val="right"/>
              <w:rPr>
                <w:rFonts w:eastAsia="Times New Roman"/>
                <w:color w:val="0B0C0C"/>
              </w:rPr>
            </w:pPr>
            <w:r w:rsidRPr="00C72932">
              <w:rPr>
                <w:rFonts w:eastAsia="Times New Roman"/>
                <w:color w:val="0B0C0C"/>
              </w:rPr>
              <w:t>47.7%</w:t>
            </w:r>
          </w:p>
        </w:tc>
      </w:tr>
      <w:tr w:rsidR="001B1CBE" w:rsidRPr="00C72932" w14:paraId="71635502"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1D1F4415" w14:textId="77777777" w:rsidR="001B1CBE" w:rsidRPr="00C72932" w:rsidRDefault="001B1CBE" w:rsidP="00213810">
            <w:pPr>
              <w:spacing w:after="450"/>
              <w:rPr>
                <w:rFonts w:eastAsia="Times New Roman"/>
                <w:color w:val="0B0C0C"/>
              </w:rPr>
            </w:pPr>
            <w:r w:rsidRPr="00C72932">
              <w:rPr>
                <w:rFonts w:eastAsia="Times New Roman"/>
                <w:color w:val="0B0C0C"/>
              </w:rPr>
              <w:t>Average Attainment 8 score of all pupils</w:t>
            </w:r>
          </w:p>
        </w:tc>
        <w:tc>
          <w:tcPr>
            <w:tcW w:w="0" w:type="auto"/>
            <w:tcBorders>
              <w:bottom w:val="single" w:sz="6" w:space="0" w:color="B1B4B6"/>
            </w:tcBorders>
            <w:shd w:val="clear" w:color="auto" w:fill="FFFFFF"/>
            <w:tcMar>
              <w:top w:w="150" w:type="dxa"/>
              <w:left w:w="0" w:type="dxa"/>
              <w:bottom w:w="150" w:type="dxa"/>
              <w:right w:w="300" w:type="dxa"/>
            </w:tcMar>
            <w:hideMark/>
          </w:tcPr>
          <w:p w14:paraId="5383A036" w14:textId="77777777" w:rsidR="001B1CBE" w:rsidRPr="00C72932" w:rsidRDefault="001B1CBE" w:rsidP="00213810">
            <w:pPr>
              <w:spacing w:after="450"/>
              <w:rPr>
                <w:rFonts w:eastAsia="Times New Roman"/>
                <w:color w:val="0B0C0C"/>
              </w:rPr>
            </w:pPr>
            <w:r w:rsidRPr="00C72932">
              <w:rPr>
                <w:rFonts w:eastAsia="Times New Roman"/>
                <w:color w:val="0B0C0C"/>
              </w:rPr>
              <w:t>2018/19</w:t>
            </w:r>
          </w:p>
        </w:tc>
        <w:tc>
          <w:tcPr>
            <w:tcW w:w="0" w:type="auto"/>
            <w:tcBorders>
              <w:bottom w:val="single" w:sz="6" w:space="0" w:color="B1B4B6"/>
            </w:tcBorders>
            <w:tcMar>
              <w:top w:w="150" w:type="dxa"/>
              <w:left w:w="150" w:type="dxa"/>
              <w:bottom w:w="150" w:type="dxa"/>
              <w:right w:w="150" w:type="dxa"/>
            </w:tcMar>
            <w:hideMark/>
          </w:tcPr>
          <w:p w14:paraId="7BA61580" w14:textId="77777777" w:rsidR="001B1CBE" w:rsidRPr="00C72932" w:rsidRDefault="001B1CBE" w:rsidP="00213810">
            <w:pPr>
              <w:spacing w:after="450"/>
              <w:jc w:val="right"/>
              <w:rPr>
                <w:rFonts w:eastAsia="Times New Roman"/>
                <w:color w:val="0B0C0C"/>
              </w:rPr>
            </w:pPr>
            <w:r w:rsidRPr="00C72932">
              <w:rPr>
                <w:rFonts w:eastAsia="Times New Roman"/>
                <w:color w:val="0B0C0C"/>
              </w:rPr>
              <w:t>51.2</w:t>
            </w:r>
          </w:p>
        </w:tc>
        <w:tc>
          <w:tcPr>
            <w:tcW w:w="0" w:type="auto"/>
            <w:tcBorders>
              <w:bottom w:val="single" w:sz="6" w:space="0" w:color="B1B4B6"/>
            </w:tcBorders>
            <w:tcMar>
              <w:top w:w="150" w:type="dxa"/>
              <w:left w:w="150" w:type="dxa"/>
              <w:bottom w:w="150" w:type="dxa"/>
              <w:right w:w="150" w:type="dxa"/>
            </w:tcMar>
            <w:hideMark/>
          </w:tcPr>
          <w:p w14:paraId="2D93C032" w14:textId="77777777" w:rsidR="001B1CBE" w:rsidRPr="00C72932" w:rsidRDefault="001B1CBE" w:rsidP="00213810">
            <w:pPr>
              <w:spacing w:after="450"/>
              <w:jc w:val="right"/>
              <w:rPr>
                <w:rFonts w:eastAsia="Times New Roman"/>
                <w:color w:val="0B0C0C"/>
              </w:rPr>
            </w:pPr>
            <w:r w:rsidRPr="00C72932">
              <w:rPr>
                <w:rFonts w:eastAsia="Times New Roman"/>
                <w:color w:val="0B0C0C"/>
              </w:rPr>
              <w:t>44.9</w:t>
            </w:r>
          </w:p>
        </w:tc>
        <w:tc>
          <w:tcPr>
            <w:tcW w:w="0" w:type="auto"/>
            <w:tcBorders>
              <w:bottom w:val="single" w:sz="6" w:space="0" w:color="B1B4B6"/>
            </w:tcBorders>
            <w:tcMar>
              <w:top w:w="150" w:type="dxa"/>
              <w:left w:w="150" w:type="dxa"/>
              <w:bottom w:w="150" w:type="dxa"/>
              <w:right w:w="150" w:type="dxa"/>
            </w:tcMar>
            <w:hideMark/>
          </w:tcPr>
          <w:p w14:paraId="1840F8D6" w14:textId="77777777" w:rsidR="001B1CBE" w:rsidRPr="00C72932" w:rsidRDefault="001B1CBE" w:rsidP="00213810">
            <w:pPr>
              <w:spacing w:after="450"/>
              <w:jc w:val="right"/>
              <w:rPr>
                <w:rFonts w:eastAsia="Times New Roman"/>
                <w:color w:val="0B0C0C"/>
              </w:rPr>
            </w:pPr>
            <w:r w:rsidRPr="00C72932">
              <w:rPr>
                <w:rFonts w:eastAsia="Times New Roman"/>
                <w:color w:val="0B0C0C"/>
              </w:rPr>
              <w:t>64.3</w:t>
            </w:r>
          </w:p>
        </w:tc>
        <w:tc>
          <w:tcPr>
            <w:tcW w:w="0" w:type="auto"/>
            <w:tcBorders>
              <w:bottom w:val="single" w:sz="6" w:space="0" w:color="B1B4B6"/>
            </w:tcBorders>
            <w:tcMar>
              <w:top w:w="150" w:type="dxa"/>
              <w:left w:w="150" w:type="dxa"/>
              <w:bottom w:w="150" w:type="dxa"/>
              <w:right w:w="150" w:type="dxa"/>
            </w:tcMar>
            <w:hideMark/>
          </w:tcPr>
          <w:p w14:paraId="0F96E5D7" w14:textId="77777777" w:rsidR="001B1CBE" w:rsidRPr="00C72932" w:rsidRDefault="001B1CBE" w:rsidP="00213810">
            <w:pPr>
              <w:spacing w:after="450"/>
              <w:jc w:val="right"/>
              <w:rPr>
                <w:rFonts w:eastAsia="Times New Roman"/>
                <w:color w:val="0B0C0C"/>
              </w:rPr>
            </w:pPr>
            <w:r w:rsidRPr="00C72932">
              <w:rPr>
                <w:rFonts w:eastAsia="Times New Roman"/>
                <w:color w:val="0B0C0C"/>
              </w:rPr>
              <w:t>47.6</w:t>
            </w:r>
          </w:p>
        </w:tc>
        <w:tc>
          <w:tcPr>
            <w:tcW w:w="0" w:type="auto"/>
            <w:tcBorders>
              <w:bottom w:val="single" w:sz="6" w:space="0" w:color="B1B4B6"/>
            </w:tcBorders>
            <w:tcMar>
              <w:top w:w="150" w:type="dxa"/>
              <w:left w:w="150" w:type="dxa"/>
              <w:bottom w:w="150" w:type="dxa"/>
              <w:right w:w="150" w:type="dxa"/>
            </w:tcMar>
            <w:hideMark/>
          </w:tcPr>
          <w:p w14:paraId="2AFC1025" w14:textId="77777777" w:rsidR="001B1CBE" w:rsidRPr="00C72932" w:rsidRDefault="001B1CBE" w:rsidP="00213810">
            <w:pPr>
              <w:spacing w:after="450"/>
              <w:jc w:val="right"/>
              <w:rPr>
                <w:rFonts w:eastAsia="Times New Roman"/>
                <w:color w:val="0B0C0C"/>
              </w:rPr>
            </w:pPr>
            <w:r w:rsidRPr="00C72932">
              <w:rPr>
                <w:rFonts w:eastAsia="Times New Roman"/>
                <w:color w:val="0B0C0C"/>
              </w:rPr>
              <w:t>47.3</w:t>
            </w:r>
          </w:p>
        </w:tc>
        <w:tc>
          <w:tcPr>
            <w:tcW w:w="0" w:type="auto"/>
            <w:tcBorders>
              <w:bottom w:val="single" w:sz="6" w:space="0" w:color="B1B4B6"/>
            </w:tcBorders>
            <w:tcMar>
              <w:top w:w="150" w:type="dxa"/>
              <w:left w:w="150" w:type="dxa"/>
              <w:bottom w:w="150" w:type="dxa"/>
              <w:right w:w="150" w:type="dxa"/>
            </w:tcMar>
            <w:hideMark/>
          </w:tcPr>
          <w:p w14:paraId="23042745" w14:textId="77777777" w:rsidR="001B1CBE" w:rsidRPr="00C72932" w:rsidRDefault="001B1CBE" w:rsidP="00213810">
            <w:pPr>
              <w:spacing w:after="450"/>
              <w:jc w:val="right"/>
              <w:rPr>
                <w:rFonts w:eastAsia="Times New Roman"/>
                <w:color w:val="0B0C0C"/>
              </w:rPr>
            </w:pPr>
            <w:r w:rsidRPr="00C72932">
              <w:rPr>
                <w:rFonts w:eastAsia="Times New Roman"/>
                <w:color w:val="0B0C0C"/>
              </w:rPr>
              <w:t>46.1</w:t>
            </w:r>
          </w:p>
        </w:tc>
      </w:tr>
      <w:tr w:rsidR="001B1CBE" w:rsidRPr="00C72932" w14:paraId="464DD311" w14:textId="77777777" w:rsidTr="00213810">
        <w:trPr>
          <w:tblCellSpacing w:w="15" w:type="dxa"/>
        </w:trPr>
        <w:tc>
          <w:tcPr>
            <w:tcW w:w="0" w:type="auto"/>
            <w:vMerge/>
            <w:tcBorders>
              <w:bottom w:val="single" w:sz="6" w:space="0" w:color="B1B4B6"/>
            </w:tcBorders>
            <w:vAlign w:val="center"/>
            <w:hideMark/>
          </w:tcPr>
          <w:p w14:paraId="0AC130DB"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307BF03D" w14:textId="77777777" w:rsidR="001B1CBE" w:rsidRPr="00C72932" w:rsidRDefault="001B1CBE" w:rsidP="00213810">
            <w:pPr>
              <w:spacing w:after="450"/>
              <w:rPr>
                <w:rFonts w:eastAsia="Times New Roman"/>
                <w:color w:val="0B0C0C"/>
              </w:rPr>
            </w:pPr>
            <w:r w:rsidRPr="00C72932">
              <w:rPr>
                <w:rFonts w:eastAsia="Times New Roman"/>
                <w:color w:val="0B0C0C"/>
              </w:rPr>
              <w:t>2019/20</w:t>
            </w:r>
          </w:p>
        </w:tc>
        <w:tc>
          <w:tcPr>
            <w:tcW w:w="0" w:type="auto"/>
            <w:tcBorders>
              <w:bottom w:val="single" w:sz="6" w:space="0" w:color="B1B4B6"/>
            </w:tcBorders>
            <w:tcMar>
              <w:top w:w="150" w:type="dxa"/>
              <w:left w:w="150" w:type="dxa"/>
              <w:bottom w:w="150" w:type="dxa"/>
              <w:right w:w="150" w:type="dxa"/>
            </w:tcMar>
            <w:hideMark/>
          </w:tcPr>
          <w:p w14:paraId="1DBC3438" w14:textId="77777777" w:rsidR="001B1CBE" w:rsidRPr="00C72932" w:rsidRDefault="001B1CBE" w:rsidP="00213810">
            <w:pPr>
              <w:spacing w:after="450"/>
              <w:jc w:val="right"/>
              <w:rPr>
                <w:rFonts w:eastAsia="Times New Roman"/>
                <w:color w:val="0B0C0C"/>
              </w:rPr>
            </w:pPr>
            <w:r w:rsidRPr="00C72932">
              <w:rPr>
                <w:rFonts w:eastAsia="Times New Roman"/>
                <w:color w:val="0B0C0C"/>
              </w:rPr>
              <w:t>54.5</w:t>
            </w:r>
          </w:p>
        </w:tc>
        <w:tc>
          <w:tcPr>
            <w:tcW w:w="0" w:type="auto"/>
            <w:tcBorders>
              <w:bottom w:val="single" w:sz="6" w:space="0" w:color="B1B4B6"/>
            </w:tcBorders>
            <w:tcMar>
              <w:top w:w="150" w:type="dxa"/>
              <w:left w:w="150" w:type="dxa"/>
              <w:bottom w:w="150" w:type="dxa"/>
              <w:right w:w="150" w:type="dxa"/>
            </w:tcMar>
            <w:hideMark/>
          </w:tcPr>
          <w:p w14:paraId="582C1CF0" w14:textId="77777777" w:rsidR="001B1CBE" w:rsidRPr="00C72932" w:rsidRDefault="001B1CBE" w:rsidP="00213810">
            <w:pPr>
              <w:spacing w:after="450"/>
              <w:jc w:val="right"/>
              <w:rPr>
                <w:rFonts w:eastAsia="Times New Roman"/>
                <w:color w:val="0B0C0C"/>
              </w:rPr>
            </w:pPr>
            <w:r w:rsidRPr="00C72932">
              <w:rPr>
                <w:rFonts w:eastAsia="Times New Roman"/>
                <w:color w:val="0B0C0C"/>
              </w:rPr>
              <w:t>48.9</w:t>
            </w:r>
          </w:p>
        </w:tc>
        <w:tc>
          <w:tcPr>
            <w:tcW w:w="0" w:type="auto"/>
            <w:tcBorders>
              <w:bottom w:val="single" w:sz="6" w:space="0" w:color="B1B4B6"/>
            </w:tcBorders>
            <w:tcMar>
              <w:top w:w="150" w:type="dxa"/>
              <w:left w:w="150" w:type="dxa"/>
              <w:bottom w:w="150" w:type="dxa"/>
              <w:right w:w="150" w:type="dxa"/>
            </w:tcMar>
            <w:hideMark/>
          </w:tcPr>
          <w:p w14:paraId="2F5EFFCD" w14:textId="77777777" w:rsidR="001B1CBE" w:rsidRPr="00C72932" w:rsidRDefault="001B1CBE" w:rsidP="00213810">
            <w:pPr>
              <w:spacing w:after="450"/>
              <w:jc w:val="right"/>
              <w:rPr>
                <w:rFonts w:eastAsia="Times New Roman"/>
                <w:color w:val="0B0C0C"/>
              </w:rPr>
            </w:pPr>
            <w:r w:rsidRPr="00C72932">
              <w:rPr>
                <w:rFonts w:eastAsia="Times New Roman"/>
                <w:color w:val="0B0C0C"/>
              </w:rPr>
              <w:t>67.6</w:t>
            </w:r>
          </w:p>
        </w:tc>
        <w:tc>
          <w:tcPr>
            <w:tcW w:w="0" w:type="auto"/>
            <w:tcBorders>
              <w:bottom w:val="single" w:sz="6" w:space="0" w:color="B1B4B6"/>
            </w:tcBorders>
            <w:tcMar>
              <w:top w:w="150" w:type="dxa"/>
              <w:left w:w="150" w:type="dxa"/>
              <w:bottom w:w="150" w:type="dxa"/>
              <w:right w:w="150" w:type="dxa"/>
            </w:tcMar>
            <w:hideMark/>
          </w:tcPr>
          <w:p w14:paraId="6A88226D" w14:textId="77777777" w:rsidR="001B1CBE" w:rsidRPr="00C72932" w:rsidRDefault="001B1CBE" w:rsidP="00213810">
            <w:pPr>
              <w:spacing w:after="450"/>
              <w:jc w:val="right"/>
              <w:rPr>
                <w:rFonts w:eastAsia="Times New Roman"/>
                <w:color w:val="0B0C0C"/>
              </w:rPr>
            </w:pPr>
            <w:r w:rsidRPr="00C72932">
              <w:rPr>
                <w:rFonts w:eastAsia="Times New Roman"/>
                <w:color w:val="0B0C0C"/>
              </w:rPr>
              <w:t>50.8</w:t>
            </w:r>
          </w:p>
        </w:tc>
        <w:tc>
          <w:tcPr>
            <w:tcW w:w="0" w:type="auto"/>
            <w:tcBorders>
              <w:bottom w:val="single" w:sz="6" w:space="0" w:color="B1B4B6"/>
            </w:tcBorders>
            <w:tcMar>
              <w:top w:w="150" w:type="dxa"/>
              <w:left w:w="150" w:type="dxa"/>
              <w:bottom w:w="150" w:type="dxa"/>
              <w:right w:w="150" w:type="dxa"/>
            </w:tcMar>
            <w:hideMark/>
          </w:tcPr>
          <w:p w14:paraId="039DB054" w14:textId="77777777" w:rsidR="001B1CBE" w:rsidRPr="00C72932" w:rsidRDefault="001B1CBE" w:rsidP="00213810">
            <w:pPr>
              <w:spacing w:after="450"/>
              <w:jc w:val="right"/>
              <w:rPr>
                <w:rFonts w:eastAsia="Times New Roman"/>
                <w:color w:val="0B0C0C"/>
              </w:rPr>
            </w:pPr>
            <w:r w:rsidRPr="00C72932">
              <w:rPr>
                <w:rFonts w:eastAsia="Times New Roman"/>
                <w:color w:val="0B0C0C"/>
              </w:rPr>
              <w:t>50.6</w:t>
            </w:r>
          </w:p>
        </w:tc>
        <w:tc>
          <w:tcPr>
            <w:tcW w:w="0" w:type="auto"/>
            <w:tcBorders>
              <w:bottom w:val="single" w:sz="6" w:space="0" w:color="B1B4B6"/>
            </w:tcBorders>
            <w:tcMar>
              <w:top w:w="150" w:type="dxa"/>
              <w:left w:w="150" w:type="dxa"/>
              <w:bottom w:w="150" w:type="dxa"/>
              <w:right w:w="150" w:type="dxa"/>
            </w:tcMar>
            <w:hideMark/>
          </w:tcPr>
          <w:p w14:paraId="53823C3D" w14:textId="77777777" w:rsidR="001B1CBE" w:rsidRPr="00C72932" w:rsidRDefault="001B1CBE" w:rsidP="00213810">
            <w:pPr>
              <w:spacing w:after="450"/>
              <w:jc w:val="right"/>
              <w:rPr>
                <w:rFonts w:eastAsia="Times New Roman"/>
                <w:color w:val="0B0C0C"/>
              </w:rPr>
            </w:pPr>
            <w:r w:rsidRPr="00C72932">
              <w:rPr>
                <w:rFonts w:eastAsia="Times New Roman"/>
                <w:color w:val="0B0C0C"/>
              </w:rPr>
              <w:t>49.7</w:t>
            </w:r>
          </w:p>
        </w:tc>
      </w:tr>
      <w:tr w:rsidR="001B1CBE" w:rsidRPr="00C72932" w14:paraId="52ED9C33" w14:textId="77777777" w:rsidTr="00213810">
        <w:trPr>
          <w:tblCellSpacing w:w="15" w:type="dxa"/>
        </w:trPr>
        <w:tc>
          <w:tcPr>
            <w:tcW w:w="0" w:type="auto"/>
            <w:vMerge/>
            <w:tcBorders>
              <w:bottom w:val="single" w:sz="6" w:space="0" w:color="B1B4B6"/>
            </w:tcBorders>
            <w:vAlign w:val="center"/>
            <w:hideMark/>
          </w:tcPr>
          <w:p w14:paraId="32A70406"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4C5233A5" w14:textId="77777777" w:rsidR="001B1CBE" w:rsidRPr="00C72932" w:rsidRDefault="001B1CBE" w:rsidP="00213810">
            <w:pPr>
              <w:spacing w:after="450"/>
              <w:rPr>
                <w:rFonts w:eastAsia="Times New Roman"/>
                <w:color w:val="0B0C0C"/>
              </w:rPr>
            </w:pPr>
            <w:r w:rsidRPr="00C72932">
              <w:rPr>
                <w:rFonts w:eastAsia="Times New Roman"/>
                <w:color w:val="0B0C0C"/>
              </w:rPr>
              <w:t>2020/21</w:t>
            </w:r>
          </w:p>
        </w:tc>
        <w:tc>
          <w:tcPr>
            <w:tcW w:w="0" w:type="auto"/>
            <w:tcBorders>
              <w:bottom w:val="single" w:sz="6" w:space="0" w:color="B1B4B6"/>
            </w:tcBorders>
            <w:tcMar>
              <w:top w:w="150" w:type="dxa"/>
              <w:left w:w="150" w:type="dxa"/>
              <w:bottom w:w="150" w:type="dxa"/>
              <w:right w:w="150" w:type="dxa"/>
            </w:tcMar>
            <w:hideMark/>
          </w:tcPr>
          <w:p w14:paraId="08941623" w14:textId="77777777" w:rsidR="001B1CBE" w:rsidRPr="00C72932" w:rsidRDefault="001B1CBE" w:rsidP="00213810">
            <w:pPr>
              <w:spacing w:after="450"/>
              <w:jc w:val="right"/>
              <w:rPr>
                <w:rFonts w:eastAsia="Times New Roman"/>
                <w:color w:val="0B0C0C"/>
              </w:rPr>
            </w:pPr>
            <w:r w:rsidRPr="00C72932">
              <w:rPr>
                <w:rFonts w:eastAsia="Times New Roman"/>
                <w:color w:val="0B0C0C"/>
              </w:rPr>
              <w:t>55.8</w:t>
            </w:r>
          </w:p>
        </w:tc>
        <w:tc>
          <w:tcPr>
            <w:tcW w:w="0" w:type="auto"/>
            <w:tcBorders>
              <w:bottom w:val="single" w:sz="6" w:space="0" w:color="B1B4B6"/>
            </w:tcBorders>
            <w:tcMar>
              <w:top w:w="150" w:type="dxa"/>
              <w:left w:w="150" w:type="dxa"/>
              <w:bottom w:w="150" w:type="dxa"/>
              <w:right w:w="150" w:type="dxa"/>
            </w:tcMar>
            <w:hideMark/>
          </w:tcPr>
          <w:p w14:paraId="34220459" w14:textId="77777777" w:rsidR="001B1CBE" w:rsidRPr="00C72932" w:rsidRDefault="001B1CBE" w:rsidP="00213810">
            <w:pPr>
              <w:spacing w:after="450"/>
              <w:jc w:val="right"/>
              <w:rPr>
                <w:rFonts w:eastAsia="Times New Roman"/>
                <w:color w:val="0B0C0C"/>
              </w:rPr>
            </w:pPr>
            <w:r w:rsidRPr="00C72932">
              <w:rPr>
                <w:rFonts w:eastAsia="Times New Roman"/>
                <w:color w:val="0B0C0C"/>
              </w:rPr>
              <w:t>50.0</w:t>
            </w:r>
          </w:p>
        </w:tc>
        <w:tc>
          <w:tcPr>
            <w:tcW w:w="0" w:type="auto"/>
            <w:tcBorders>
              <w:bottom w:val="single" w:sz="6" w:space="0" w:color="B1B4B6"/>
            </w:tcBorders>
            <w:tcMar>
              <w:top w:w="150" w:type="dxa"/>
              <w:left w:w="150" w:type="dxa"/>
              <w:bottom w:w="150" w:type="dxa"/>
              <w:right w:w="150" w:type="dxa"/>
            </w:tcMar>
            <w:hideMark/>
          </w:tcPr>
          <w:p w14:paraId="180D96B0" w14:textId="77777777" w:rsidR="001B1CBE" w:rsidRPr="00C72932" w:rsidRDefault="001B1CBE" w:rsidP="00213810">
            <w:pPr>
              <w:spacing w:after="450"/>
              <w:jc w:val="right"/>
              <w:rPr>
                <w:rFonts w:eastAsia="Times New Roman"/>
                <w:color w:val="0B0C0C"/>
              </w:rPr>
            </w:pPr>
            <w:r w:rsidRPr="00C72932">
              <w:rPr>
                <w:rFonts w:eastAsia="Times New Roman"/>
                <w:color w:val="0B0C0C"/>
              </w:rPr>
              <w:t>69.2</w:t>
            </w:r>
          </w:p>
        </w:tc>
        <w:tc>
          <w:tcPr>
            <w:tcW w:w="0" w:type="auto"/>
            <w:tcBorders>
              <w:bottom w:val="single" w:sz="6" w:space="0" w:color="B1B4B6"/>
            </w:tcBorders>
            <w:tcMar>
              <w:top w:w="150" w:type="dxa"/>
              <w:left w:w="150" w:type="dxa"/>
              <w:bottom w:w="150" w:type="dxa"/>
              <w:right w:w="150" w:type="dxa"/>
            </w:tcMar>
            <w:hideMark/>
          </w:tcPr>
          <w:p w14:paraId="5C5A94EF" w14:textId="77777777" w:rsidR="001B1CBE" w:rsidRPr="00C72932" w:rsidRDefault="001B1CBE" w:rsidP="00213810">
            <w:pPr>
              <w:spacing w:after="450"/>
              <w:jc w:val="right"/>
              <w:rPr>
                <w:rFonts w:eastAsia="Times New Roman"/>
                <w:color w:val="0B0C0C"/>
              </w:rPr>
            </w:pPr>
            <w:r w:rsidRPr="00C72932">
              <w:rPr>
                <w:rFonts w:eastAsia="Times New Roman"/>
                <w:color w:val="0B0C0C"/>
              </w:rPr>
              <w:t>51.3</w:t>
            </w:r>
          </w:p>
        </w:tc>
        <w:tc>
          <w:tcPr>
            <w:tcW w:w="0" w:type="auto"/>
            <w:tcBorders>
              <w:bottom w:val="single" w:sz="6" w:space="0" w:color="B1B4B6"/>
            </w:tcBorders>
            <w:tcMar>
              <w:top w:w="150" w:type="dxa"/>
              <w:left w:w="150" w:type="dxa"/>
              <w:bottom w:w="150" w:type="dxa"/>
              <w:right w:w="150" w:type="dxa"/>
            </w:tcMar>
            <w:hideMark/>
          </w:tcPr>
          <w:p w14:paraId="1A107B1B" w14:textId="77777777" w:rsidR="001B1CBE" w:rsidRPr="00C72932" w:rsidRDefault="001B1CBE" w:rsidP="00213810">
            <w:pPr>
              <w:spacing w:after="450"/>
              <w:jc w:val="right"/>
              <w:rPr>
                <w:rFonts w:eastAsia="Times New Roman"/>
                <w:color w:val="0B0C0C"/>
              </w:rPr>
            </w:pPr>
            <w:r w:rsidRPr="00C72932">
              <w:rPr>
                <w:rFonts w:eastAsia="Times New Roman"/>
                <w:color w:val="0B0C0C"/>
              </w:rPr>
              <w:t>51.7</w:t>
            </w:r>
          </w:p>
        </w:tc>
        <w:tc>
          <w:tcPr>
            <w:tcW w:w="0" w:type="auto"/>
            <w:tcBorders>
              <w:bottom w:val="single" w:sz="6" w:space="0" w:color="B1B4B6"/>
            </w:tcBorders>
            <w:tcMar>
              <w:top w:w="150" w:type="dxa"/>
              <w:left w:w="150" w:type="dxa"/>
              <w:bottom w:w="150" w:type="dxa"/>
              <w:right w:w="150" w:type="dxa"/>
            </w:tcMar>
            <w:hideMark/>
          </w:tcPr>
          <w:p w14:paraId="054F6BF7" w14:textId="77777777" w:rsidR="001B1CBE" w:rsidRPr="00C72932" w:rsidRDefault="001B1CBE" w:rsidP="00213810">
            <w:pPr>
              <w:spacing w:after="450"/>
              <w:jc w:val="right"/>
              <w:rPr>
                <w:rFonts w:eastAsia="Times New Roman"/>
                <w:color w:val="0B0C0C"/>
              </w:rPr>
            </w:pPr>
            <w:r w:rsidRPr="00C72932">
              <w:rPr>
                <w:rFonts w:eastAsia="Times New Roman"/>
                <w:color w:val="0B0C0C"/>
              </w:rPr>
              <w:t>50.2</w:t>
            </w:r>
          </w:p>
        </w:tc>
      </w:tr>
      <w:tr w:rsidR="001B1CBE" w:rsidRPr="00C72932" w14:paraId="688B4A2E" w14:textId="77777777" w:rsidTr="00213810">
        <w:trPr>
          <w:tblCellSpacing w:w="15" w:type="dxa"/>
        </w:trPr>
        <w:tc>
          <w:tcPr>
            <w:tcW w:w="0" w:type="auto"/>
            <w:vMerge/>
            <w:tcBorders>
              <w:bottom w:val="single" w:sz="6" w:space="0" w:color="B1B4B6"/>
            </w:tcBorders>
            <w:vAlign w:val="center"/>
            <w:hideMark/>
          </w:tcPr>
          <w:p w14:paraId="008E3695"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AD0B4BD" w14:textId="77777777" w:rsidR="001B1CBE" w:rsidRPr="00C72932" w:rsidRDefault="001B1CBE" w:rsidP="00213810">
            <w:pPr>
              <w:spacing w:after="450"/>
              <w:rPr>
                <w:rFonts w:eastAsia="Times New Roman"/>
                <w:color w:val="0B0C0C"/>
              </w:rPr>
            </w:pPr>
            <w:r w:rsidRPr="00C72932">
              <w:rPr>
                <w:rFonts w:eastAsia="Times New Roman"/>
                <w:color w:val="0B0C0C"/>
              </w:rPr>
              <w:t>2021/22</w:t>
            </w:r>
          </w:p>
        </w:tc>
        <w:tc>
          <w:tcPr>
            <w:tcW w:w="0" w:type="auto"/>
            <w:tcBorders>
              <w:bottom w:val="single" w:sz="6" w:space="0" w:color="B1B4B6"/>
            </w:tcBorders>
            <w:tcMar>
              <w:top w:w="150" w:type="dxa"/>
              <w:left w:w="150" w:type="dxa"/>
              <w:bottom w:w="150" w:type="dxa"/>
              <w:right w:w="150" w:type="dxa"/>
            </w:tcMar>
            <w:hideMark/>
          </w:tcPr>
          <w:p w14:paraId="63B2A2DB" w14:textId="77777777" w:rsidR="001B1CBE" w:rsidRPr="00C72932" w:rsidRDefault="001B1CBE" w:rsidP="00213810">
            <w:pPr>
              <w:spacing w:after="450"/>
              <w:jc w:val="right"/>
              <w:rPr>
                <w:rFonts w:eastAsia="Times New Roman"/>
                <w:color w:val="0B0C0C"/>
              </w:rPr>
            </w:pPr>
            <w:r w:rsidRPr="00C72932">
              <w:rPr>
                <w:rFonts w:eastAsia="Times New Roman"/>
                <w:color w:val="0B0C0C"/>
              </w:rPr>
              <w:t>54.5</w:t>
            </w:r>
          </w:p>
        </w:tc>
        <w:tc>
          <w:tcPr>
            <w:tcW w:w="0" w:type="auto"/>
            <w:tcBorders>
              <w:bottom w:val="single" w:sz="6" w:space="0" w:color="B1B4B6"/>
            </w:tcBorders>
            <w:tcMar>
              <w:top w:w="150" w:type="dxa"/>
              <w:left w:w="150" w:type="dxa"/>
              <w:bottom w:w="150" w:type="dxa"/>
              <w:right w:w="150" w:type="dxa"/>
            </w:tcMar>
            <w:hideMark/>
          </w:tcPr>
          <w:p w14:paraId="571E9C06" w14:textId="77777777" w:rsidR="001B1CBE" w:rsidRPr="00C72932" w:rsidRDefault="001B1CBE" w:rsidP="00213810">
            <w:pPr>
              <w:spacing w:after="450"/>
              <w:jc w:val="right"/>
              <w:rPr>
                <w:rFonts w:eastAsia="Times New Roman"/>
                <w:color w:val="0B0C0C"/>
              </w:rPr>
            </w:pPr>
            <w:r w:rsidRPr="00C72932">
              <w:rPr>
                <w:rFonts w:eastAsia="Times New Roman"/>
                <w:color w:val="0B0C0C"/>
              </w:rPr>
              <w:t>48.5</w:t>
            </w:r>
          </w:p>
        </w:tc>
        <w:tc>
          <w:tcPr>
            <w:tcW w:w="0" w:type="auto"/>
            <w:tcBorders>
              <w:bottom w:val="single" w:sz="6" w:space="0" w:color="B1B4B6"/>
            </w:tcBorders>
            <w:tcMar>
              <w:top w:w="150" w:type="dxa"/>
              <w:left w:w="150" w:type="dxa"/>
              <w:bottom w:w="150" w:type="dxa"/>
              <w:right w:w="150" w:type="dxa"/>
            </w:tcMar>
            <w:hideMark/>
          </w:tcPr>
          <w:p w14:paraId="4C5484AB" w14:textId="77777777" w:rsidR="001B1CBE" w:rsidRPr="00C72932" w:rsidRDefault="001B1CBE" w:rsidP="00213810">
            <w:pPr>
              <w:spacing w:after="450"/>
              <w:jc w:val="right"/>
              <w:rPr>
                <w:rFonts w:eastAsia="Times New Roman"/>
                <w:color w:val="0B0C0C"/>
              </w:rPr>
            </w:pPr>
            <w:r w:rsidRPr="00C72932">
              <w:rPr>
                <w:rFonts w:eastAsia="Times New Roman"/>
                <w:color w:val="0B0C0C"/>
              </w:rPr>
              <w:t>66.0</w:t>
            </w:r>
          </w:p>
        </w:tc>
        <w:tc>
          <w:tcPr>
            <w:tcW w:w="0" w:type="auto"/>
            <w:tcBorders>
              <w:bottom w:val="single" w:sz="6" w:space="0" w:color="B1B4B6"/>
            </w:tcBorders>
            <w:tcMar>
              <w:top w:w="150" w:type="dxa"/>
              <w:left w:w="150" w:type="dxa"/>
              <w:bottom w:w="150" w:type="dxa"/>
              <w:right w:w="150" w:type="dxa"/>
            </w:tcMar>
            <w:hideMark/>
          </w:tcPr>
          <w:p w14:paraId="617282F0" w14:textId="77777777" w:rsidR="001B1CBE" w:rsidRPr="00C72932" w:rsidRDefault="001B1CBE" w:rsidP="00213810">
            <w:pPr>
              <w:spacing w:after="450"/>
              <w:jc w:val="right"/>
              <w:rPr>
                <w:rFonts w:eastAsia="Times New Roman"/>
                <w:color w:val="0B0C0C"/>
              </w:rPr>
            </w:pPr>
            <w:r w:rsidRPr="00C72932">
              <w:rPr>
                <w:rFonts w:eastAsia="Times New Roman"/>
                <w:color w:val="0B0C0C"/>
              </w:rPr>
              <w:t>49.3</w:t>
            </w:r>
          </w:p>
        </w:tc>
        <w:tc>
          <w:tcPr>
            <w:tcW w:w="0" w:type="auto"/>
            <w:tcBorders>
              <w:bottom w:val="single" w:sz="6" w:space="0" w:color="B1B4B6"/>
            </w:tcBorders>
            <w:tcMar>
              <w:top w:w="150" w:type="dxa"/>
              <w:left w:w="150" w:type="dxa"/>
              <w:bottom w:w="150" w:type="dxa"/>
              <w:right w:w="150" w:type="dxa"/>
            </w:tcMar>
            <w:hideMark/>
          </w:tcPr>
          <w:p w14:paraId="011623D5" w14:textId="77777777" w:rsidR="001B1CBE" w:rsidRPr="00C72932" w:rsidRDefault="001B1CBE" w:rsidP="00213810">
            <w:pPr>
              <w:spacing w:after="450"/>
              <w:jc w:val="right"/>
              <w:rPr>
                <w:rFonts w:eastAsia="Times New Roman"/>
                <w:color w:val="0B0C0C"/>
              </w:rPr>
            </w:pPr>
            <w:r w:rsidRPr="00C72932">
              <w:rPr>
                <w:rFonts w:eastAsia="Times New Roman"/>
                <w:color w:val="0B0C0C"/>
              </w:rPr>
              <w:t>49.5</w:t>
            </w:r>
          </w:p>
        </w:tc>
        <w:tc>
          <w:tcPr>
            <w:tcW w:w="0" w:type="auto"/>
            <w:tcBorders>
              <w:bottom w:val="single" w:sz="6" w:space="0" w:color="B1B4B6"/>
            </w:tcBorders>
            <w:tcMar>
              <w:top w:w="150" w:type="dxa"/>
              <w:left w:w="150" w:type="dxa"/>
              <w:bottom w:w="150" w:type="dxa"/>
              <w:right w:w="150" w:type="dxa"/>
            </w:tcMar>
            <w:hideMark/>
          </w:tcPr>
          <w:p w14:paraId="49695268" w14:textId="77777777" w:rsidR="001B1CBE" w:rsidRPr="00C72932" w:rsidRDefault="001B1CBE" w:rsidP="00213810">
            <w:pPr>
              <w:spacing w:after="450"/>
              <w:jc w:val="right"/>
              <w:rPr>
                <w:rFonts w:eastAsia="Times New Roman"/>
                <w:color w:val="0B0C0C"/>
              </w:rPr>
            </w:pPr>
            <w:r w:rsidRPr="00C72932">
              <w:rPr>
                <w:rFonts w:eastAsia="Times New Roman"/>
                <w:color w:val="0B0C0C"/>
              </w:rPr>
              <w:t>47.7</w:t>
            </w:r>
          </w:p>
        </w:tc>
      </w:tr>
      <w:tr w:rsidR="001B1CBE" w:rsidRPr="00C72932" w14:paraId="738C01BA" w14:textId="77777777" w:rsidTr="00213810">
        <w:trPr>
          <w:tblCellSpacing w:w="15" w:type="dxa"/>
        </w:trPr>
        <w:tc>
          <w:tcPr>
            <w:tcW w:w="0" w:type="auto"/>
            <w:vMerge w:val="restart"/>
            <w:tcBorders>
              <w:bottom w:val="single" w:sz="6" w:space="0" w:color="B1B4B6"/>
            </w:tcBorders>
            <w:shd w:val="clear" w:color="auto" w:fill="FFFFFF"/>
            <w:tcMar>
              <w:top w:w="150" w:type="dxa"/>
              <w:left w:w="0" w:type="dxa"/>
              <w:bottom w:w="150" w:type="dxa"/>
              <w:right w:w="300" w:type="dxa"/>
            </w:tcMar>
            <w:hideMark/>
          </w:tcPr>
          <w:p w14:paraId="42A9A951" w14:textId="77777777" w:rsidR="001B1CBE" w:rsidRPr="00C72932" w:rsidRDefault="001B1CBE" w:rsidP="00213810">
            <w:pPr>
              <w:spacing w:after="450"/>
              <w:rPr>
                <w:rFonts w:eastAsia="Times New Roman"/>
                <w:color w:val="0B0C0C"/>
              </w:rPr>
            </w:pPr>
            <w:r w:rsidRPr="00C72932">
              <w:rPr>
                <w:rFonts w:eastAsia="Times New Roman"/>
                <w:color w:val="0B0C0C"/>
              </w:rPr>
              <w:t>Average EBacc APS score per pupil</w:t>
            </w:r>
          </w:p>
        </w:tc>
        <w:tc>
          <w:tcPr>
            <w:tcW w:w="0" w:type="auto"/>
            <w:tcBorders>
              <w:bottom w:val="single" w:sz="6" w:space="0" w:color="B1B4B6"/>
            </w:tcBorders>
            <w:shd w:val="clear" w:color="auto" w:fill="FFFFFF"/>
            <w:tcMar>
              <w:top w:w="150" w:type="dxa"/>
              <w:left w:w="0" w:type="dxa"/>
              <w:bottom w:w="150" w:type="dxa"/>
              <w:right w:w="300" w:type="dxa"/>
            </w:tcMar>
            <w:hideMark/>
          </w:tcPr>
          <w:p w14:paraId="01D163C4" w14:textId="77777777" w:rsidR="001B1CBE" w:rsidRPr="00C72932" w:rsidRDefault="001B1CBE" w:rsidP="00213810">
            <w:pPr>
              <w:spacing w:after="450"/>
              <w:rPr>
                <w:rFonts w:eastAsia="Times New Roman"/>
                <w:color w:val="0B0C0C"/>
              </w:rPr>
            </w:pPr>
            <w:r w:rsidRPr="00C72932">
              <w:rPr>
                <w:rFonts w:eastAsia="Times New Roman"/>
                <w:color w:val="0B0C0C"/>
              </w:rPr>
              <w:t>2018/19</w:t>
            </w:r>
          </w:p>
        </w:tc>
        <w:tc>
          <w:tcPr>
            <w:tcW w:w="0" w:type="auto"/>
            <w:tcBorders>
              <w:bottom w:val="single" w:sz="6" w:space="0" w:color="B1B4B6"/>
            </w:tcBorders>
            <w:tcMar>
              <w:top w:w="150" w:type="dxa"/>
              <w:left w:w="150" w:type="dxa"/>
              <w:bottom w:w="150" w:type="dxa"/>
              <w:right w:w="150" w:type="dxa"/>
            </w:tcMar>
            <w:hideMark/>
          </w:tcPr>
          <w:p w14:paraId="58ED19CA" w14:textId="77777777" w:rsidR="001B1CBE" w:rsidRPr="00C72932" w:rsidRDefault="001B1CBE" w:rsidP="00213810">
            <w:pPr>
              <w:spacing w:after="450"/>
              <w:jc w:val="right"/>
              <w:rPr>
                <w:rFonts w:eastAsia="Times New Roman"/>
                <w:color w:val="0B0C0C"/>
              </w:rPr>
            </w:pPr>
            <w:r w:rsidRPr="00C72932">
              <w:rPr>
                <w:rFonts w:eastAsia="Times New Roman"/>
                <w:color w:val="0B0C0C"/>
              </w:rPr>
              <w:t>4.57</w:t>
            </w:r>
          </w:p>
        </w:tc>
        <w:tc>
          <w:tcPr>
            <w:tcW w:w="0" w:type="auto"/>
            <w:tcBorders>
              <w:bottom w:val="single" w:sz="6" w:space="0" w:color="B1B4B6"/>
            </w:tcBorders>
            <w:tcMar>
              <w:top w:w="150" w:type="dxa"/>
              <w:left w:w="150" w:type="dxa"/>
              <w:bottom w:w="150" w:type="dxa"/>
              <w:right w:w="150" w:type="dxa"/>
            </w:tcMar>
            <w:hideMark/>
          </w:tcPr>
          <w:p w14:paraId="1B032E15" w14:textId="77777777" w:rsidR="001B1CBE" w:rsidRPr="00C72932" w:rsidRDefault="001B1CBE" w:rsidP="00213810">
            <w:pPr>
              <w:spacing w:after="450"/>
              <w:jc w:val="right"/>
              <w:rPr>
                <w:rFonts w:eastAsia="Times New Roman"/>
                <w:color w:val="0B0C0C"/>
              </w:rPr>
            </w:pPr>
            <w:r w:rsidRPr="00C72932">
              <w:rPr>
                <w:rFonts w:eastAsia="Times New Roman"/>
                <w:color w:val="0B0C0C"/>
              </w:rPr>
              <w:t>3.94</w:t>
            </w:r>
          </w:p>
        </w:tc>
        <w:tc>
          <w:tcPr>
            <w:tcW w:w="0" w:type="auto"/>
            <w:tcBorders>
              <w:bottom w:val="single" w:sz="6" w:space="0" w:color="B1B4B6"/>
            </w:tcBorders>
            <w:tcMar>
              <w:top w:w="150" w:type="dxa"/>
              <w:left w:w="150" w:type="dxa"/>
              <w:bottom w:w="150" w:type="dxa"/>
              <w:right w:w="150" w:type="dxa"/>
            </w:tcMar>
            <w:hideMark/>
          </w:tcPr>
          <w:p w14:paraId="640BA1FC" w14:textId="77777777" w:rsidR="001B1CBE" w:rsidRPr="00C72932" w:rsidRDefault="001B1CBE" w:rsidP="00213810">
            <w:pPr>
              <w:spacing w:after="450"/>
              <w:jc w:val="right"/>
              <w:rPr>
                <w:rFonts w:eastAsia="Times New Roman"/>
                <w:color w:val="0B0C0C"/>
              </w:rPr>
            </w:pPr>
            <w:r w:rsidRPr="00C72932">
              <w:rPr>
                <w:rFonts w:eastAsia="Times New Roman"/>
                <w:color w:val="0B0C0C"/>
              </w:rPr>
              <w:t>5.99</w:t>
            </w:r>
          </w:p>
        </w:tc>
        <w:tc>
          <w:tcPr>
            <w:tcW w:w="0" w:type="auto"/>
            <w:tcBorders>
              <w:bottom w:val="single" w:sz="6" w:space="0" w:color="B1B4B6"/>
            </w:tcBorders>
            <w:tcMar>
              <w:top w:w="150" w:type="dxa"/>
              <w:left w:w="150" w:type="dxa"/>
              <w:bottom w:w="150" w:type="dxa"/>
              <w:right w:w="150" w:type="dxa"/>
            </w:tcMar>
            <w:hideMark/>
          </w:tcPr>
          <w:p w14:paraId="2D522FE4" w14:textId="77777777" w:rsidR="001B1CBE" w:rsidRPr="00C72932" w:rsidRDefault="001B1CBE" w:rsidP="00213810">
            <w:pPr>
              <w:spacing w:after="450"/>
              <w:jc w:val="right"/>
              <w:rPr>
                <w:rFonts w:eastAsia="Times New Roman"/>
                <w:color w:val="0B0C0C"/>
              </w:rPr>
            </w:pPr>
            <w:r w:rsidRPr="00C72932">
              <w:rPr>
                <w:rFonts w:eastAsia="Times New Roman"/>
                <w:color w:val="0B0C0C"/>
              </w:rPr>
              <w:t>4.19</w:t>
            </w:r>
          </w:p>
        </w:tc>
        <w:tc>
          <w:tcPr>
            <w:tcW w:w="0" w:type="auto"/>
            <w:tcBorders>
              <w:bottom w:val="single" w:sz="6" w:space="0" w:color="B1B4B6"/>
            </w:tcBorders>
            <w:tcMar>
              <w:top w:w="150" w:type="dxa"/>
              <w:left w:w="150" w:type="dxa"/>
              <w:bottom w:w="150" w:type="dxa"/>
              <w:right w:w="150" w:type="dxa"/>
            </w:tcMar>
            <w:hideMark/>
          </w:tcPr>
          <w:p w14:paraId="45041485" w14:textId="77777777" w:rsidR="001B1CBE" w:rsidRPr="00C72932" w:rsidRDefault="001B1CBE" w:rsidP="00213810">
            <w:pPr>
              <w:spacing w:after="450"/>
              <w:jc w:val="right"/>
              <w:rPr>
                <w:rFonts w:eastAsia="Times New Roman"/>
                <w:color w:val="0B0C0C"/>
              </w:rPr>
            </w:pPr>
            <w:r w:rsidRPr="00C72932">
              <w:rPr>
                <w:rFonts w:eastAsia="Times New Roman"/>
                <w:color w:val="0B0C0C"/>
              </w:rPr>
              <w:t>4.30</w:t>
            </w:r>
          </w:p>
        </w:tc>
        <w:tc>
          <w:tcPr>
            <w:tcW w:w="0" w:type="auto"/>
            <w:tcBorders>
              <w:bottom w:val="single" w:sz="6" w:space="0" w:color="B1B4B6"/>
            </w:tcBorders>
            <w:tcMar>
              <w:top w:w="150" w:type="dxa"/>
              <w:left w:w="150" w:type="dxa"/>
              <w:bottom w:w="150" w:type="dxa"/>
              <w:right w:w="150" w:type="dxa"/>
            </w:tcMar>
            <w:hideMark/>
          </w:tcPr>
          <w:p w14:paraId="48941239" w14:textId="77777777" w:rsidR="001B1CBE" w:rsidRPr="00C72932" w:rsidRDefault="001B1CBE" w:rsidP="00213810">
            <w:pPr>
              <w:spacing w:after="450"/>
              <w:jc w:val="right"/>
              <w:rPr>
                <w:rFonts w:eastAsia="Times New Roman"/>
                <w:color w:val="0B0C0C"/>
              </w:rPr>
            </w:pPr>
            <w:r w:rsidRPr="00C72932">
              <w:rPr>
                <w:rFonts w:eastAsia="Times New Roman"/>
                <w:color w:val="0B0C0C"/>
              </w:rPr>
              <w:t>4.00</w:t>
            </w:r>
          </w:p>
        </w:tc>
      </w:tr>
      <w:tr w:rsidR="001B1CBE" w:rsidRPr="00C72932" w14:paraId="7604C295" w14:textId="77777777" w:rsidTr="00213810">
        <w:trPr>
          <w:tblCellSpacing w:w="15" w:type="dxa"/>
        </w:trPr>
        <w:tc>
          <w:tcPr>
            <w:tcW w:w="0" w:type="auto"/>
            <w:vMerge/>
            <w:tcBorders>
              <w:bottom w:val="single" w:sz="6" w:space="0" w:color="B1B4B6"/>
            </w:tcBorders>
            <w:vAlign w:val="center"/>
            <w:hideMark/>
          </w:tcPr>
          <w:p w14:paraId="5D2B216C"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5AAE18F4" w14:textId="77777777" w:rsidR="001B1CBE" w:rsidRPr="00C72932" w:rsidRDefault="001B1CBE" w:rsidP="00213810">
            <w:pPr>
              <w:spacing w:after="450"/>
              <w:rPr>
                <w:rFonts w:eastAsia="Times New Roman"/>
                <w:color w:val="0B0C0C"/>
              </w:rPr>
            </w:pPr>
            <w:r w:rsidRPr="00C72932">
              <w:rPr>
                <w:rFonts w:eastAsia="Times New Roman"/>
                <w:color w:val="0B0C0C"/>
              </w:rPr>
              <w:t>2019/20</w:t>
            </w:r>
          </w:p>
        </w:tc>
        <w:tc>
          <w:tcPr>
            <w:tcW w:w="0" w:type="auto"/>
            <w:tcBorders>
              <w:bottom w:val="single" w:sz="6" w:space="0" w:color="B1B4B6"/>
            </w:tcBorders>
            <w:tcMar>
              <w:top w:w="150" w:type="dxa"/>
              <w:left w:w="150" w:type="dxa"/>
              <w:bottom w:w="150" w:type="dxa"/>
              <w:right w:w="150" w:type="dxa"/>
            </w:tcMar>
            <w:hideMark/>
          </w:tcPr>
          <w:p w14:paraId="640037FB" w14:textId="77777777" w:rsidR="001B1CBE" w:rsidRPr="00C72932" w:rsidRDefault="001B1CBE" w:rsidP="00213810">
            <w:pPr>
              <w:spacing w:after="450"/>
              <w:jc w:val="right"/>
              <w:rPr>
                <w:rFonts w:eastAsia="Times New Roman"/>
                <w:color w:val="0B0C0C"/>
              </w:rPr>
            </w:pPr>
            <w:r w:rsidRPr="00C72932">
              <w:rPr>
                <w:rFonts w:eastAsia="Times New Roman"/>
                <w:color w:val="0B0C0C"/>
              </w:rPr>
              <w:t>4.89</w:t>
            </w:r>
          </w:p>
        </w:tc>
        <w:tc>
          <w:tcPr>
            <w:tcW w:w="0" w:type="auto"/>
            <w:tcBorders>
              <w:bottom w:val="single" w:sz="6" w:space="0" w:color="B1B4B6"/>
            </w:tcBorders>
            <w:tcMar>
              <w:top w:w="150" w:type="dxa"/>
              <w:left w:w="150" w:type="dxa"/>
              <w:bottom w:w="150" w:type="dxa"/>
              <w:right w:w="150" w:type="dxa"/>
            </w:tcMar>
            <w:hideMark/>
          </w:tcPr>
          <w:p w14:paraId="7770953C" w14:textId="77777777" w:rsidR="001B1CBE" w:rsidRPr="00C72932" w:rsidRDefault="001B1CBE" w:rsidP="00213810">
            <w:pPr>
              <w:spacing w:after="450"/>
              <w:jc w:val="right"/>
              <w:rPr>
                <w:rFonts w:eastAsia="Times New Roman"/>
                <w:color w:val="0B0C0C"/>
              </w:rPr>
            </w:pPr>
            <w:r w:rsidRPr="00C72932">
              <w:rPr>
                <w:rFonts w:eastAsia="Times New Roman"/>
                <w:color w:val="0B0C0C"/>
              </w:rPr>
              <w:t>4.32</w:t>
            </w:r>
          </w:p>
        </w:tc>
        <w:tc>
          <w:tcPr>
            <w:tcW w:w="0" w:type="auto"/>
            <w:tcBorders>
              <w:bottom w:val="single" w:sz="6" w:space="0" w:color="B1B4B6"/>
            </w:tcBorders>
            <w:tcMar>
              <w:top w:w="150" w:type="dxa"/>
              <w:left w:w="150" w:type="dxa"/>
              <w:bottom w:w="150" w:type="dxa"/>
              <w:right w:w="150" w:type="dxa"/>
            </w:tcMar>
            <w:hideMark/>
          </w:tcPr>
          <w:p w14:paraId="351A2512" w14:textId="77777777" w:rsidR="001B1CBE" w:rsidRPr="00C72932" w:rsidRDefault="001B1CBE" w:rsidP="00213810">
            <w:pPr>
              <w:spacing w:after="450"/>
              <w:jc w:val="right"/>
              <w:rPr>
                <w:rFonts w:eastAsia="Times New Roman"/>
                <w:color w:val="0B0C0C"/>
              </w:rPr>
            </w:pPr>
            <w:r w:rsidRPr="00C72932">
              <w:rPr>
                <w:rFonts w:eastAsia="Times New Roman"/>
                <w:color w:val="0B0C0C"/>
              </w:rPr>
              <w:t>6.31</w:t>
            </w:r>
          </w:p>
        </w:tc>
        <w:tc>
          <w:tcPr>
            <w:tcW w:w="0" w:type="auto"/>
            <w:tcBorders>
              <w:bottom w:val="single" w:sz="6" w:space="0" w:color="B1B4B6"/>
            </w:tcBorders>
            <w:tcMar>
              <w:top w:w="150" w:type="dxa"/>
              <w:left w:w="150" w:type="dxa"/>
              <w:bottom w:w="150" w:type="dxa"/>
              <w:right w:w="150" w:type="dxa"/>
            </w:tcMar>
            <w:hideMark/>
          </w:tcPr>
          <w:p w14:paraId="470CEA32" w14:textId="77777777" w:rsidR="001B1CBE" w:rsidRPr="00C72932" w:rsidRDefault="001B1CBE" w:rsidP="00213810">
            <w:pPr>
              <w:spacing w:after="450"/>
              <w:jc w:val="right"/>
              <w:rPr>
                <w:rFonts w:eastAsia="Times New Roman"/>
                <w:color w:val="0B0C0C"/>
              </w:rPr>
            </w:pPr>
            <w:r w:rsidRPr="00C72932">
              <w:rPr>
                <w:rFonts w:eastAsia="Times New Roman"/>
                <w:color w:val="0B0C0C"/>
              </w:rPr>
              <w:t>4.48</w:t>
            </w:r>
          </w:p>
        </w:tc>
        <w:tc>
          <w:tcPr>
            <w:tcW w:w="0" w:type="auto"/>
            <w:tcBorders>
              <w:bottom w:val="single" w:sz="6" w:space="0" w:color="B1B4B6"/>
            </w:tcBorders>
            <w:tcMar>
              <w:top w:w="150" w:type="dxa"/>
              <w:left w:w="150" w:type="dxa"/>
              <w:bottom w:w="150" w:type="dxa"/>
              <w:right w:w="150" w:type="dxa"/>
            </w:tcMar>
            <w:hideMark/>
          </w:tcPr>
          <w:p w14:paraId="55816504" w14:textId="77777777" w:rsidR="001B1CBE" w:rsidRPr="00C72932" w:rsidRDefault="001B1CBE" w:rsidP="00213810">
            <w:pPr>
              <w:spacing w:after="450"/>
              <w:jc w:val="right"/>
              <w:rPr>
                <w:rFonts w:eastAsia="Times New Roman"/>
                <w:color w:val="0B0C0C"/>
              </w:rPr>
            </w:pPr>
            <w:r w:rsidRPr="00C72932">
              <w:rPr>
                <w:rFonts w:eastAsia="Times New Roman"/>
                <w:color w:val="0B0C0C"/>
              </w:rPr>
              <w:t>4.59</w:t>
            </w:r>
          </w:p>
        </w:tc>
        <w:tc>
          <w:tcPr>
            <w:tcW w:w="0" w:type="auto"/>
            <w:tcBorders>
              <w:bottom w:val="single" w:sz="6" w:space="0" w:color="B1B4B6"/>
            </w:tcBorders>
            <w:tcMar>
              <w:top w:w="150" w:type="dxa"/>
              <w:left w:w="150" w:type="dxa"/>
              <w:bottom w:w="150" w:type="dxa"/>
              <w:right w:w="150" w:type="dxa"/>
            </w:tcMar>
            <w:hideMark/>
          </w:tcPr>
          <w:p w14:paraId="600D3706" w14:textId="77777777" w:rsidR="001B1CBE" w:rsidRPr="00C72932" w:rsidRDefault="001B1CBE" w:rsidP="00213810">
            <w:pPr>
              <w:spacing w:after="450"/>
              <w:jc w:val="right"/>
              <w:rPr>
                <w:rFonts w:eastAsia="Times New Roman"/>
                <w:color w:val="0B0C0C"/>
              </w:rPr>
            </w:pPr>
            <w:r w:rsidRPr="00C72932">
              <w:rPr>
                <w:rFonts w:eastAsia="Times New Roman"/>
                <w:color w:val="0B0C0C"/>
              </w:rPr>
              <w:t>4.31</w:t>
            </w:r>
          </w:p>
        </w:tc>
      </w:tr>
      <w:tr w:rsidR="001B1CBE" w:rsidRPr="00C72932" w14:paraId="7836F70E" w14:textId="77777777" w:rsidTr="00213810">
        <w:trPr>
          <w:tblCellSpacing w:w="15" w:type="dxa"/>
        </w:trPr>
        <w:tc>
          <w:tcPr>
            <w:tcW w:w="0" w:type="auto"/>
            <w:vMerge/>
            <w:tcBorders>
              <w:bottom w:val="single" w:sz="6" w:space="0" w:color="B1B4B6"/>
            </w:tcBorders>
            <w:vAlign w:val="center"/>
            <w:hideMark/>
          </w:tcPr>
          <w:p w14:paraId="2FA9D36D"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2120DBD5" w14:textId="77777777" w:rsidR="001B1CBE" w:rsidRPr="00C72932" w:rsidRDefault="001B1CBE" w:rsidP="00213810">
            <w:pPr>
              <w:spacing w:after="450"/>
              <w:rPr>
                <w:rFonts w:eastAsia="Times New Roman"/>
                <w:color w:val="0B0C0C"/>
              </w:rPr>
            </w:pPr>
            <w:r w:rsidRPr="00C72932">
              <w:rPr>
                <w:rFonts w:eastAsia="Times New Roman"/>
                <w:color w:val="0B0C0C"/>
              </w:rPr>
              <w:t>2020/21</w:t>
            </w:r>
          </w:p>
        </w:tc>
        <w:tc>
          <w:tcPr>
            <w:tcW w:w="0" w:type="auto"/>
            <w:tcBorders>
              <w:bottom w:val="single" w:sz="6" w:space="0" w:color="B1B4B6"/>
            </w:tcBorders>
            <w:tcMar>
              <w:top w:w="150" w:type="dxa"/>
              <w:left w:w="150" w:type="dxa"/>
              <w:bottom w:w="150" w:type="dxa"/>
              <w:right w:w="150" w:type="dxa"/>
            </w:tcMar>
            <w:hideMark/>
          </w:tcPr>
          <w:p w14:paraId="049E4F0D" w14:textId="77777777" w:rsidR="001B1CBE" w:rsidRPr="00C72932" w:rsidRDefault="001B1CBE" w:rsidP="00213810">
            <w:pPr>
              <w:spacing w:after="450"/>
              <w:jc w:val="right"/>
              <w:rPr>
                <w:rFonts w:eastAsia="Times New Roman"/>
                <w:color w:val="0B0C0C"/>
              </w:rPr>
            </w:pPr>
            <w:r w:rsidRPr="00C72932">
              <w:rPr>
                <w:rFonts w:eastAsia="Times New Roman"/>
                <w:color w:val="0B0C0C"/>
              </w:rPr>
              <w:t>5.02</w:t>
            </w:r>
          </w:p>
        </w:tc>
        <w:tc>
          <w:tcPr>
            <w:tcW w:w="0" w:type="auto"/>
            <w:tcBorders>
              <w:bottom w:val="single" w:sz="6" w:space="0" w:color="B1B4B6"/>
            </w:tcBorders>
            <w:tcMar>
              <w:top w:w="150" w:type="dxa"/>
              <w:left w:w="150" w:type="dxa"/>
              <w:bottom w:w="150" w:type="dxa"/>
              <w:right w:w="150" w:type="dxa"/>
            </w:tcMar>
            <w:hideMark/>
          </w:tcPr>
          <w:p w14:paraId="484B62F0" w14:textId="77777777" w:rsidR="001B1CBE" w:rsidRPr="00C72932" w:rsidRDefault="001B1CBE" w:rsidP="00213810">
            <w:pPr>
              <w:spacing w:after="450"/>
              <w:jc w:val="right"/>
              <w:rPr>
                <w:rFonts w:eastAsia="Times New Roman"/>
                <w:color w:val="0B0C0C"/>
              </w:rPr>
            </w:pPr>
            <w:r w:rsidRPr="00C72932">
              <w:rPr>
                <w:rFonts w:eastAsia="Times New Roman"/>
                <w:color w:val="0B0C0C"/>
              </w:rPr>
              <w:t>4.42</w:t>
            </w:r>
          </w:p>
        </w:tc>
        <w:tc>
          <w:tcPr>
            <w:tcW w:w="0" w:type="auto"/>
            <w:tcBorders>
              <w:bottom w:val="single" w:sz="6" w:space="0" w:color="B1B4B6"/>
            </w:tcBorders>
            <w:tcMar>
              <w:top w:w="150" w:type="dxa"/>
              <w:left w:w="150" w:type="dxa"/>
              <w:bottom w:w="150" w:type="dxa"/>
              <w:right w:w="150" w:type="dxa"/>
            </w:tcMar>
            <w:hideMark/>
          </w:tcPr>
          <w:p w14:paraId="0F1F7A64" w14:textId="77777777" w:rsidR="001B1CBE" w:rsidRPr="00C72932" w:rsidRDefault="001B1CBE" w:rsidP="00213810">
            <w:pPr>
              <w:spacing w:after="450"/>
              <w:jc w:val="right"/>
              <w:rPr>
                <w:rFonts w:eastAsia="Times New Roman"/>
                <w:color w:val="0B0C0C"/>
              </w:rPr>
            </w:pPr>
            <w:r w:rsidRPr="00C72932">
              <w:rPr>
                <w:rFonts w:eastAsia="Times New Roman"/>
                <w:color w:val="0B0C0C"/>
              </w:rPr>
              <w:t>6.44</w:t>
            </w:r>
          </w:p>
        </w:tc>
        <w:tc>
          <w:tcPr>
            <w:tcW w:w="0" w:type="auto"/>
            <w:tcBorders>
              <w:bottom w:val="single" w:sz="6" w:space="0" w:color="B1B4B6"/>
            </w:tcBorders>
            <w:tcMar>
              <w:top w:w="150" w:type="dxa"/>
              <w:left w:w="150" w:type="dxa"/>
              <w:bottom w:w="150" w:type="dxa"/>
              <w:right w:w="150" w:type="dxa"/>
            </w:tcMar>
            <w:hideMark/>
          </w:tcPr>
          <w:p w14:paraId="45A702B4" w14:textId="77777777" w:rsidR="001B1CBE" w:rsidRPr="00C72932" w:rsidRDefault="001B1CBE" w:rsidP="00213810">
            <w:pPr>
              <w:spacing w:after="450"/>
              <w:jc w:val="right"/>
              <w:rPr>
                <w:rFonts w:eastAsia="Times New Roman"/>
                <w:color w:val="0B0C0C"/>
              </w:rPr>
            </w:pPr>
            <w:r w:rsidRPr="00C72932">
              <w:rPr>
                <w:rFonts w:eastAsia="Times New Roman"/>
                <w:color w:val="0B0C0C"/>
              </w:rPr>
              <w:t>4.52</w:t>
            </w:r>
          </w:p>
        </w:tc>
        <w:tc>
          <w:tcPr>
            <w:tcW w:w="0" w:type="auto"/>
            <w:tcBorders>
              <w:bottom w:val="single" w:sz="6" w:space="0" w:color="B1B4B6"/>
            </w:tcBorders>
            <w:tcMar>
              <w:top w:w="150" w:type="dxa"/>
              <w:left w:w="150" w:type="dxa"/>
              <w:bottom w:w="150" w:type="dxa"/>
              <w:right w:w="150" w:type="dxa"/>
            </w:tcMar>
            <w:hideMark/>
          </w:tcPr>
          <w:p w14:paraId="331F8BF5" w14:textId="77777777" w:rsidR="001B1CBE" w:rsidRPr="00C72932" w:rsidRDefault="001B1CBE" w:rsidP="00213810">
            <w:pPr>
              <w:spacing w:after="450"/>
              <w:jc w:val="right"/>
              <w:rPr>
                <w:rFonts w:eastAsia="Times New Roman"/>
                <w:color w:val="0B0C0C"/>
              </w:rPr>
            </w:pPr>
            <w:r w:rsidRPr="00C72932">
              <w:rPr>
                <w:rFonts w:eastAsia="Times New Roman"/>
                <w:color w:val="0B0C0C"/>
              </w:rPr>
              <w:t>4.71</w:t>
            </w:r>
          </w:p>
        </w:tc>
        <w:tc>
          <w:tcPr>
            <w:tcW w:w="0" w:type="auto"/>
            <w:tcBorders>
              <w:bottom w:val="single" w:sz="6" w:space="0" w:color="B1B4B6"/>
            </w:tcBorders>
            <w:tcMar>
              <w:top w:w="150" w:type="dxa"/>
              <w:left w:w="150" w:type="dxa"/>
              <w:bottom w:w="150" w:type="dxa"/>
              <w:right w:w="150" w:type="dxa"/>
            </w:tcMar>
            <w:hideMark/>
          </w:tcPr>
          <w:p w14:paraId="5C49044D" w14:textId="77777777" w:rsidR="001B1CBE" w:rsidRPr="00C72932" w:rsidRDefault="001B1CBE" w:rsidP="00213810">
            <w:pPr>
              <w:spacing w:after="450"/>
              <w:jc w:val="right"/>
              <w:rPr>
                <w:rFonts w:eastAsia="Times New Roman"/>
                <w:color w:val="0B0C0C"/>
              </w:rPr>
            </w:pPr>
            <w:r w:rsidRPr="00C72932">
              <w:rPr>
                <w:rFonts w:eastAsia="Times New Roman"/>
                <w:color w:val="0B0C0C"/>
              </w:rPr>
              <w:t>4.35</w:t>
            </w:r>
          </w:p>
        </w:tc>
      </w:tr>
      <w:tr w:rsidR="001B1CBE" w:rsidRPr="00C72932" w14:paraId="612497F2" w14:textId="77777777" w:rsidTr="00213810">
        <w:trPr>
          <w:tblCellSpacing w:w="15" w:type="dxa"/>
        </w:trPr>
        <w:tc>
          <w:tcPr>
            <w:tcW w:w="0" w:type="auto"/>
            <w:vMerge/>
            <w:tcBorders>
              <w:bottom w:val="single" w:sz="6" w:space="0" w:color="B1B4B6"/>
            </w:tcBorders>
            <w:vAlign w:val="center"/>
            <w:hideMark/>
          </w:tcPr>
          <w:p w14:paraId="6FB0C24E" w14:textId="77777777" w:rsidR="001B1CBE" w:rsidRPr="00C72932" w:rsidRDefault="001B1CBE" w:rsidP="00213810">
            <w:pPr>
              <w:spacing w:after="450"/>
              <w:rPr>
                <w:rFonts w:eastAsia="Times New Roman"/>
                <w:color w:val="0B0C0C"/>
              </w:rPr>
            </w:pPr>
          </w:p>
        </w:tc>
        <w:tc>
          <w:tcPr>
            <w:tcW w:w="0" w:type="auto"/>
            <w:tcBorders>
              <w:bottom w:val="single" w:sz="6" w:space="0" w:color="B1B4B6"/>
            </w:tcBorders>
            <w:shd w:val="clear" w:color="auto" w:fill="FFFFFF"/>
            <w:tcMar>
              <w:top w:w="150" w:type="dxa"/>
              <w:left w:w="0" w:type="dxa"/>
              <w:bottom w:w="150" w:type="dxa"/>
              <w:right w:w="300" w:type="dxa"/>
            </w:tcMar>
            <w:hideMark/>
          </w:tcPr>
          <w:p w14:paraId="6B1B0BAA" w14:textId="77777777" w:rsidR="001B1CBE" w:rsidRPr="00C72932" w:rsidRDefault="001B1CBE" w:rsidP="00213810">
            <w:pPr>
              <w:spacing w:after="450"/>
              <w:rPr>
                <w:rFonts w:eastAsia="Times New Roman"/>
                <w:color w:val="0B0C0C"/>
              </w:rPr>
            </w:pPr>
            <w:r w:rsidRPr="00C72932">
              <w:rPr>
                <w:rFonts w:eastAsia="Times New Roman"/>
                <w:color w:val="0B0C0C"/>
              </w:rPr>
              <w:t>2021/22</w:t>
            </w:r>
          </w:p>
        </w:tc>
        <w:tc>
          <w:tcPr>
            <w:tcW w:w="0" w:type="auto"/>
            <w:tcBorders>
              <w:bottom w:val="single" w:sz="6" w:space="0" w:color="B1B4B6"/>
            </w:tcBorders>
            <w:tcMar>
              <w:top w:w="150" w:type="dxa"/>
              <w:left w:w="150" w:type="dxa"/>
              <w:bottom w:w="150" w:type="dxa"/>
              <w:right w:w="150" w:type="dxa"/>
            </w:tcMar>
            <w:hideMark/>
          </w:tcPr>
          <w:p w14:paraId="079B772A" w14:textId="77777777" w:rsidR="001B1CBE" w:rsidRPr="00C72932" w:rsidRDefault="001B1CBE" w:rsidP="00213810">
            <w:pPr>
              <w:spacing w:after="450"/>
              <w:jc w:val="right"/>
              <w:rPr>
                <w:rFonts w:eastAsia="Times New Roman"/>
                <w:color w:val="0B0C0C"/>
              </w:rPr>
            </w:pPr>
            <w:r w:rsidRPr="00C72932">
              <w:rPr>
                <w:rFonts w:eastAsia="Times New Roman"/>
                <w:color w:val="0B0C0C"/>
              </w:rPr>
              <w:t>4.91</w:t>
            </w:r>
          </w:p>
        </w:tc>
        <w:tc>
          <w:tcPr>
            <w:tcW w:w="0" w:type="auto"/>
            <w:tcBorders>
              <w:bottom w:val="single" w:sz="6" w:space="0" w:color="B1B4B6"/>
            </w:tcBorders>
            <w:tcMar>
              <w:top w:w="150" w:type="dxa"/>
              <w:left w:w="150" w:type="dxa"/>
              <w:bottom w:w="150" w:type="dxa"/>
              <w:right w:w="150" w:type="dxa"/>
            </w:tcMar>
            <w:hideMark/>
          </w:tcPr>
          <w:p w14:paraId="72374A37" w14:textId="77777777" w:rsidR="001B1CBE" w:rsidRPr="00C72932" w:rsidRDefault="001B1CBE" w:rsidP="00213810">
            <w:pPr>
              <w:spacing w:after="450"/>
              <w:jc w:val="right"/>
              <w:rPr>
                <w:rFonts w:eastAsia="Times New Roman"/>
                <w:color w:val="0B0C0C"/>
              </w:rPr>
            </w:pPr>
            <w:r w:rsidRPr="00C72932">
              <w:rPr>
                <w:rFonts w:eastAsia="Times New Roman"/>
                <w:color w:val="0B0C0C"/>
              </w:rPr>
              <w:t>4.30</w:t>
            </w:r>
          </w:p>
        </w:tc>
        <w:tc>
          <w:tcPr>
            <w:tcW w:w="0" w:type="auto"/>
            <w:tcBorders>
              <w:bottom w:val="single" w:sz="6" w:space="0" w:color="B1B4B6"/>
            </w:tcBorders>
            <w:tcMar>
              <w:top w:w="150" w:type="dxa"/>
              <w:left w:w="150" w:type="dxa"/>
              <w:bottom w:w="150" w:type="dxa"/>
              <w:right w:w="150" w:type="dxa"/>
            </w:tcMar>
            <w:hideMark/>
          </w:tcPr>
          <w:p w14:paraId="4E271684" w14:textId="77777777" w:rsidR="001B1CBE" w:rsidRPr="00C72932" w:rsidRDefault="001B1CBE" w:rsidP="00213810">
            <w:pPr>
              <w:spacing w:after="450"/>
              <w:jc w:val="right"/>
              <w:rPr>
                <w:rFonts w:eastAsia="Times New Roman"/>
                <w:color w:val="0B0C0C"/>
              </w:rPr>
            </w:pPr>
            <w:r w:rsidRPr="00C72932">
              <w:rPr>
                <w:rFonts w:eastAsia="Times New Roman"/>
                <w:color w:val="0B0C0C"/>
              </w:rPr>
              <w:t>6.15</w:t>
            </w:r>
          </w:p>
        </w:tc>
        <w:tc>
          <w:tcPr>
            <w:tcW w:w="0" w:type="auto"/>
            <w:tcBorders>
              <w:bottom w:val="single" w:sz="6" w:space="0" w:color="B1B4B6"/>
            </w:tcBorders>
            <w:tcMar>
              <w:top w:w="150" w:type="dxa"/>
              <w:left w:w="150" w:type="dxa"/>
              <w:bottom w:w="150" w:type="dxa"/>
              <w:right w:w="150" w:type="dxa"/>
            </w:tcMar>
            <w:hideMark/>
          </w:tcPr>
          <w:p w14:paraId="4C97AD94" w14:textId="77777777" w:rsidR="001B1CBE" w:rsidRPr="00C72932" w:rsidRDefault="001B1CBE" w:rsidP="00213810">
            <w:pPr>
              <w:spacing w:after="450"/>
              <w:jc w:val="right"/>
              <w:rPr>
                <w:rFonts w:eastAsia="Times New Roman"/>
                <w:color w:val="0B0C0C"/>
              </w:rPr>
            </w:pPr>
            <w:r w:rsidRPr="00C72932">
              <w:rPr>
                <w:rFonts w:eastAsia="Times New Roman"/>
                <w:color w:val="0B0C0C"/>
              </w:rPr>
              <w:t>4.35</w:t>
            </w:r>
          </w:p>
        </w:tc>
        <w:tc>
          <w:tcPr>
            <w:tcW w:w="0" w:type="auto"/>
            <w:tcBorders>
              <w:bottom w:val="single" w:sz="6" w:space="0" w:color="B1B4B6"/>
            </w:tcBorders>
            <w:tcMar>
              <w:top w:w="150" w:type="dxa"/>
              <w:left w:w="150" w:type="dxa"/>
              <w:bottom w:w="150" w:type="dxa"/>
              <w:right w:w="150" w:type="dxa"/>
            </w:tcMar>
            <w:hideMark/>
          </w:tcPr>
          <w:p w14:paraId="71EAE89F" w14:textId="77777777" w:rsidR="001B1CBE" w:rsidRPr="00C72932" w:rsidRDefault="001B1CBE" w:rsidP="00213810">
            <w:pPr>
              <w:spacing w:after="450"/>
              <w:jc w:val="right"/>
              <w:rPr>
                <w:rFonts w:eastAsia="Times New Roman"/>
                <w:color w:val="0B0C0C"/>
              </w:rPr>
            </w:pPr>
            <w:r w:rsidRPr="00C72932">
              <w:rPr>
                <w:rFonts w:eastAsia="Times New Roman"/>
                <w:color w:val="0B0C0C"/>
              </w:rPr>
              <w:t>4.52</w:t>
            </w:r>
          </w:p>
        </w:tc>
        <w:tc>
          <w:tcPr>
            <w:tcW w:w="0" w:type="auto"/>
            <w:tcBorders>
              <w:bottom w:val="single" w:sz="6" w:space="0" w:color="B1B4B6"/>
            </w:tcBorders>
            <w:tcMar>
              <w:top w:w="150" w:type="dxa"/>
              <w:left w:w="150" w:type="dxa"/>
              <w:bottom w:w="150" w:type="dxa"/>
              <w:right w:w="150" w:type="dxa"/>
            </w:tcMar>
            <w:hideMark/>
          </w:tcPr>
          <w:p w14:paraId="5BEAFE24" w14:textId="77777777" w:rsidR="001B1CBE" w:rsidRPr="00C72932" w:rsidRDefault="001B1CBE" w:rsidP="00213810">
            <w:pPr>
              <w:spacing w:after="450"/>
              <w:jc w:val="right"/>
              <w:rPr>
                <w:rFonts w:eastAsia="Times New Roman"/>
                <w:color w:val="0B0C0C"/>
              </w:rPr>
            </w:pPr>
            <w:r w:rsidRPr="00C72932">
              <w:rPr>
                <w:rFonts w:eastAsia="Times New Roman"/>
                <w:color w:val="0B0C0C"/>
              </w:rPr>
              <w:t>4.15</w:t>
            </w:r>
          </w:p>
        </w:tc>
      </w:tr>
    </w:tbl>
    <w:p w14:paraId="53E61C31" w14:textId="77777777" w:rsidR="001B1CBE" w:rsidRDefault="001B1CBE" w:rsidP="001B1CBE"/>
    <w:p w14:paraId="3E821BA3" w14:textId="77777777" w:rsidR="008C05E9" w:rsidRDefault="008C05E9" w:rsidP="001B1CBE">
      <w:pPr>
        <w:rPr>
          <w:b/>
          <w:bCs/>
        </w:rPr>
      </w:pPr>
    </w:p>
    <w:p w14:paraId="4653F31B" w14:textId="77777777" w:rsidR="008C05E9" w:rsidRDefault="008C05E9" w:rsidP="001B1CBE">
      <w:pPr>
        <w:rPr>
          <w:b/>
          <w:bCs/>
        </w:rPr>
      </w:pPr>
    </w:p>
    <w:p w14:paraId="6F3089A6" w14:textId="77777777" w:rsidR="008C05E9" w:rsidRDefault="008C05E9" w:rsidP="001B1CBE">
      <w:pPr>
        <w:rPr>
          <w:b/>
          <w:bCs/>
        </w:rPr>
      </w:pPr>
    </w:p>
    <w:p w14:paraId="7040BF86" w14:textId="77777777" w:rsidR="008C05E9" w:rsidRDefault="008C05E9" w:rsidP="001B1CBE">
      <w:pPr>
        <w:rPr>
          <w:b/>
          <w:bCs/>
        </w:rPr>
      </w:pPr>
    </w:p>
    <w:p w14:paraId="3DD4789D" w14:textId="341DA49C" w:rsidR="001B1CBE" w:rsidRDefault="001B1CBE" w:rsidP="001B1CBE">
      <w:pPr>
        <w:rPr>
          <w:b/>
          <w:bCs/>
        </w:rPr>
      </w:pPr>
      <w:r w:rsidRPr="00B71F73">
        <w:rPr>
          <w:b/>
          <w:bCs/>
        </w:rPr>
        <w:t>EBacc and subjects</w:t>
      </w:r>
    </w:p>
    <w:p w14:paraId="1B23FFB2" w14:textId="77777777" w:rsidR="001B1CBE" w:rsidRPr="00B71F73" w:rsidRDefault="001B1CBE" w:rsidP="001B1CBE">
      <w:r w:rsidRPr="00B71F73">
        <w:t>The percentage of pupils entering the full five EBacc subject groups has remained stable at 38.7 per cent – the same for 2020-21.</w:t>
      </w:r>
      <w:r>
        <w:t xml:space="preserve"> </w:t>
      </w:r>
      <w:r w:rsidRPr="00B71F73">
        <w:t>Languages is continuing to cause problems. Of those missing just one EBacc component, 87.6 per cent missed languages – compared to 86 per cent in 2018-19.</w:t>
      </w:r>
      <w:r>
        <w:t xml:space="preserve"> </w:t>
      </w:r>
      <w:r w:rsidRPr="00B71F73">
        <w:t xml:space="preserve">The percentage of pupils entered for languages this year is 44.8 per cent – the lowest in 10 years. This compares to 94.9 per cent in science and 81.4 per cent in humanities. </w:t>
      </w:r>
    </w:p>
    <w:p w14:paraId="5129958B" w14:textId="4CE7AEBF" w:rsidR="001B1CBE" w:rsidRDefault="001B1CBE" w:rsidP="001B1CBE">
      <w:pPr>
        <w:spacing w:after="160" w:afterAutospacing="0" w:line="259" w:lineRule="auto"/>
        <w:rPr>
          <w:noProof/>
        </w:rPr>
      </w:pPr>
    </w:p>
    <w:p w14:paraId="6F27B36B" w14:textId="605E42D4" w:rsidR="008C05E9" w:rsidRDefault="008C05E9" w:rsidP="001B1CBE">
      <w:pPr>
        <w:spacing w:after="160" w:afterAutospacing="0" w:line="259" w:lineRule="auto"/>
      </w:pPr>
      <w:r>
        <w:rPr>
          <w:noProof/>
          <w:lang w:eastAsia="en-GB"/>
        </w:rPr>
        <w:drawing>
          <wp:inline distT="0" distB="0" distL="0" distR="0" wp14:anchorId="1B36A37F" wp14:editId="1A2B08DE">
            <wp:extent cx="7299960" cy="463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299960" cy="4632960"/>
                    </a:xfrm>
                    <a:prstGeom prst="rect">
                      <a:avLst/>
                    </a:prstGeom>
                    <a:noFill/>
                    <a:ln>
                      <a:noFill/>
                    </a:ln>
                  </pic:spPr>
                </pic:pic>
              </a:graphicData>
            </a:graphic>
          </wp:inline>
        </w:drawing>
      </w:r>
    </w:p>
    <w:p w14:paraId="42403582" w14:textId="77777777" w:rsidR="00FC7EDF" w:rsidRPr="00FC7EDF" w:rsidRDefault="00FC7EDF" w:rsidP="0044314B">
      <w:pPr>
        <w:spacing w:after="160" w:afterAutospacing="0" w:line="259" w:lineRule="auto"/>
        <w:rPr>
          <w:b/>
          <w:bCs/>
          <w:color w:val="00B0F0"/>
        </w:rPr>
      </w:pPr>
    </w:p>
    <w:p w14:paraId="60151E86" w14:textId="77777777" w:rsidR="00C24473" w:rsidRDefault="00C24473" w:rsidP="00C24473">
      <w:pPr>
        <w:pStyle w:val="ListParagraph"/>
      </w:pPr>
    </w:p>
    <w:p w14:paraId="2540ECF3" w14:textId="77777777" w:rsidR="00C24473" w:rsidRDefault="00C24473" w:rsidP="00C24473">
      <w:pPr>
        <w:pStyle w:val="ListParagraph"/>
      </w:pPr>
    </w:p>
    <w:sectPr w:rsidR="00C24473" w:rsidSect="0090430F">
      <w:footerReference w:type="default" r:id="rId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8CB4" w14:textId="77777777" w:rsidR="00140FC1" w:rsidRDefault="00140FC1" w:rsidP="0074276F">
      <w:pPr>
        <w:spacing w:after="0"/>
      </w:pPr>
      <w:r>
        <w:separator/>
      </w:r>
    </w:p>
  </w:endnote>
  <w:endnote w:type="continuationSeparator" w:id="0">
    <w:p w14:paraId="47087B54" w14:textId="77777777" w:rsidR="00140FC1" w:rsidRDefault="00140FC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5F0C1681" w:rsidR="00B22891" w:rsidRDefault="00B22891">
        <w:pPr>
          <w:pStyle w:val="Footer"/>
          <w:jc w:val="right"/>
        </w:pPr>
        <w:r>
          <w:fldChar w:fldCharType="begin"/>
        </w:r>
        <w:r>
          <w:instrText xml:space="preserve"> PAGE   \* MERGEFORMAT </w:instrText>
        </w:r>
        <w:r>
          <w:fldChar w:fldCharType="separate"/>
        </w:r>
        <w:r w:rsidR="00E44739">
          <w:rPr>
            <w:noProof/>
          </w:rPr>
          <w:t>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EBFB" w14:textId="77777777" w:rsidR="00140FC1" w:rsidRDefault="00140FC1" w:rsidP="0074276F">
      <w:pPr>
        <w:spacing w:after="0"/>
      </w:pPr>
      <w:r>
        <w:separator/>
      </w:r>
    </w:p>
  </w:footnote>
  <w:footnote w:type="continuationSeparator" w:id="0">
    <w:p w14:paraId="12B55291" w14:textId="77777777" w:rsidR="00140FC1" w:rsidRDefault="00140FC1"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B8A"/>
    <w:multiLevelType w:val="hybridMultilevel"/>
    <w:tmpl w:val="A686F8B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1F1040"/>
    <w:multiLevelType w:val="hybridMultilevel"/>
    <w:tmpl w:val="48680A5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12D23F78"/>
    <w:multiLevelType w:val="hybridMultilevel"/>
    <w:tmpl w:val="32EAA3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71D09"/>
    <w:multiLevelType w:val="hybridMultilevel"/>
    <w:tmpl w:val="2FFC6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768BA"/>
    <w:multiLevelType w:val="hybridMultilevel"/>
    <w:tmpl w:val="0D7A44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A527A3"/>
    <w:multiLevelType w:val="hybridMultilevel"/>
    <w:tmpl w:val="DC02F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274B5"/>
    <w:multiLevelType w:val="hybridMultilevel"/>
    <w:tmpl w:val="E09A21A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F1F0E"/>
    <w:multiLevelType w:val="hybridMultilevel"/>
    <w:tmpl w:val="2D20906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E75CE4"/>
    <w:multiLevelType w:val="hybridMultilevel"/>
    <w:tmpl w:val="E452A0E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0D3ADE"/>
    <w:multiLevelType w:val="hybridMultilevel"/>
    <w:tmpl w:val="33163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54330"/>
    <w:multiLevelType w:val="hybridMultilevel"/>
    <w:tmpl w:val="85C0B7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7A6DAE"/>
    <w:multiLevelType w:val="hybridMultilevel"/>
    <w:tmpl w:val="40DCC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D1467"/>
    <w:multiLevelType w:val="hybridMultilevel"/>
    <w:tmpl w:val="7B90C7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63981"/>
    <w:multiLevelType w:val="hybridMultilevel"/>
    <w:tmpl w:val="A356AC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AC1D03"/>
    <w:multiLevelType w:val="hybridMultilevel"/>
    <w:tmpl w:val="4B66EE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3A53EB"/>
    <w:multiLevelType w:val="hybridMultilevel"/>
    <w:tmpl w:val="31B8E8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5B787E"/>
    <w:multiLevelType w:val="hybridMultilevel"/>
    <w:tmpl w:val="AD5C3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D12DAF"/>
    <w:multiLevelType w:val="hybridMultilevel"/>
    <w:tmpl w:val="D9B80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836F03"/>
    <w:multiLevelType w:val="hybridMultilevel"/>
    <w:tmpl w:val="050E4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140A86"/>
    <w:multiLevelType w:val="hybridMultilevel"/>
    <w:tmpl w:val="CE5E7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64A51"/>
    <w:multiLevelType w:val="hybridMultilevel"/>
    <w:tmpl w:val="A5EAAE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875CF9"/>
    <w:multiLevelType w:val="hybridMultilevel"/>
    <w:tmpl w:val="3E18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6"/>
  </w:num>
  <w:num w:numId="4">
    <w:abstractNumId w:val="3"/>
  </w:num>
  <w:num w:numId="5">
    <w:abstractNumId w:val="19"/>
  </w:num>
  <w:num w:numId="6">
    <w:abstractNumId w:val="2"/>
  </w:num>
  <w:num w:numId="7">
    <w:abstractNumId w:val="9"/>
  </w:num>
  <w:num w:numId="8">
    <w:abstractNumId w:val="11"/>
  </w:num>
  <w:num w:numId="9">
    <w:abstractNumId w:val="7"/>
  </w:num>
  <w:num w:numId="10">
    <w:abstractNumId w:val="0"/>
  </w:num>
  <w:num w:numId="11">
    <w:abstractNumId w:val="8"/>
  </w:num>
  <w:num w:numId="12">
    <w:abstractNumId w:val="6"/>
  </w:num>
  <w:num w:numId="13">
    <w:abstractNumId w:val="10"/>
  </w:num>
  <w:num w:numId="14">
    <w:abstractNumId w:val="20"/>
  </w:num>
  <w:num w:numId="15">
    <w:abstractNumId w:val="5"/>
  </w:num>
  <w:num w:numId="16">
    <w:abstractNumId w:val="12"/>
  </w:num>
  <w:num w:numId="17">
    <w:abstractNumId w:val="14"/>
  </w:num>
  <w:num w:numId="18">
    <w:abstractNumId w:val="1"/>
  </w:num>
  <w:num w:numId="19">
    <w:abstractNumId w:val="4"/>
  </w:num>
  <w:num w:numId="20">
    <w:abstractNumId w:val="18"/>
  </w:num>
  <w:num w:numId="21">
    <w:abstractNumId w:val="2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50F"/>
    <w:rsid w:val="0001155E"/>
    <w:rsid w:val="000116B3"/>
    <w:rsid w:val="00011780"/>
    <w:rsid w:val="00011C59"/>
    <w:rsid w:val="00011E6C"/>
    <w:rsid w:val="00011FDB"/>
    <w:rsid w:val="00011FFD"/>
    <w:rsid w:val="0001205B"/>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80C"/>
    <w:rsid w:val="000208D9"/>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E91"/>
    <w:rsid w:val="000351CD"/>
    <w:rsid w:val="00035371"/>
    <w:rsid w:val="0003557E"/>
    <w:rsid w:val="00035611"/>
    <w:rsid w:val="00035A61"/>
    <w:rsid w:val="00035C3A"/>
    <w:rsid w:val="000360A4"/>
    <w:rsid w:val="0003625B"/>
    <w:rsid w:val="000362C8"/>
    <w:rsid w:val="00036321"/>
    <w:rsid w:val="0003660F"/>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5C4"/>
    <w:rsid w:val="00040672"/>
    <w:rsid w:val="000409D3"/>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2B3B"/>
    <w:rsid w:val="00053385"/>
    <w:rsid w:val="0005346D"/>
    <w:rsid w:val="00053774"/>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C59"/>
    <w:rsid w:val="00066D56"/>
    <w:rsid w:val="000671A5"/>
    <w:rsid w:val="00067478"/>
    <w:rsid w:val="00067756"/>
    <w:rsid w:val="000679E9"/>
    <w:rsid w:val="000679F5"/>
    <w:rsid w:val="00067AC0"/>
    <w:rsid w:val="00067CBA"/>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3E"/>
    <w:rsid w:val="00075FC3"/>
    <w:rsid w:val="00076028"/>
    <w:rsid w:val="00076474"/>
    <w:rsid w:val="00076579"/>
    <w:rsid w:val="0007659F"/>
    <w:rsid w:val="00076A42"/>
    <w:rsid w:val="00076CB9"/>
    <w:rsid w:val="00077332"/>
    <w:rsid w:val="00077609"/>
    <w:rsid w:val="000776AB"/>
    <w:rsid w:val="0007776C"/>
    <w:rsid w:val="0007786B"/>
    <w:rsid w:val="00077E7D"/>
    <w:rsid w:val="000803AD"/>
    <w:rsid w:val="00080499"/>
    <w:rsid w:val="00080A26"/>
    <w:rsid w:val="00080A82"/>
    <w:rsid w:val="00080FBC"/>
    <w:rsid w:val="00081057"/>
    <w:rsid w:val="0008115C"/>
    <w:rsid w:val="00081320"/>
    <w:rsid w:val="0008156F"/>
    <w:rsid w:val="0008158F"/>
    <w:rsid w:val="00081632"/>
    <w:rsid w:val="00081F96"/>
    <w:rsid w:val="00082171"/>
    <w:rsid w:val="0008268C"/>
    <w:rsid w:val="00082709"/>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1B6"/>
    <w:rsid w:val="000B167E"/>
    <w:rsid w:val="000B16B3"/>
    <w:rsid w:val="000B18D8"/>
    <w:rsid w:val="000B1A02"/>
    <w:rsid w:val="000B2149"/>
    <w:rsid w:val="000B221E"/>
    <w:rsid w:val="000B249B"/>
    <w:rsid w:val="000B252C"/>
    <w:rsid w:val="000B2695"/>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630"/>
    <w:rsid w:val="001416FA"/>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86F"/>
    <w:rsid w:val="001758AC"/>
    <w:rsid w:val="001758DC"/>
    <w:rsid w:val="00176743"/>
    <w:rsid w:val="0017683E"/>
    <w:rsid w:val="00176946"/>
    <w:rsid w:val="001769A4"/>
    <w:rsid w:val="00176A94"/>
    <w:rsid w:val="0017703C"/>
    <w:rsid w:val="001770BB"/>
    <w:rsid w:val="0017719A"/>
    <w:rsid w:val="00177541"/>
    <w:rsid w:val="0017772C"/>
    <w:rsid w:val="001777CE"/>
    <w:rsid w:val="0017797A"/>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1DD"/>
    <w:rsid w:val="001831DE"/>
    <w:rsid w:val="001833DA"/>
    <w:rsid w:val="001834CD"/>
    <w:rsid w:val="0018354A"/>
    <w:rsid w:val="00183662"/>
    <w:rsid w:val="00183A76"/>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E0B"/>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C1"/>
    <w:rsid w:val="001B597D"/>
    <w:rsid w:val="001B59AB"/>
    <w:rsid w:val="001B5B0C"/>
    <w:rsid w:val="001B5E3A"/>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70F"/>
    <w:rsid w:val="001D57F8"/>
    <w:rsid w:val="001D5983"/>
    <w:rsid w:val="001D5988"/>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425"/>
    <w:rsid w:val="001F5C04"/>
    <w:rsid w:val="001F5F05"/>
    <w:rsid w:val="001F6110"/>
    <w:rsid w:val="001F63CF"/>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40B8"/>
    <w:rsid w:val="002042C0"/>
    <w:rsid w:val="002042D6"/>
    <w:rsid w:val="002042FA"/>
    <w:rsid w:val="00204526"/>
    <w:rsid w:val="0020466D"/>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D3B"/>
    <w:rsid w:val="00242E48"/>
    <w:rsid w:val="00243327"/>
    <w:rsid w:val="00243481"/>
    <w:rsid w:val="00243896"/>
    <w:rsid w:val="0024395D"/>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A55"/>
    <w:rsid w:val="00250AB7"/>
    <w:rsid w:val="00250CC9"/>
    <w:rsid w:val="002511B6"/>
    <w:rsid w:val="002511E1"/>
    <w:rsid w:val="002512C5"/>
    <w:rsid w:val="00251337"/>
    <w:rsid w:val="00251424"/>
    <w:rsid w:val="0025147A"/>
    <w:rsid w:val="00251680"/>
    <w:rsid w:val="002516A7"/>
    <w:rsid w:val="00251742"/>
    <w:rsid w:val="0025182C"/>
    <w:rsid w:val="00251A42"/>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D6"/>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E33"/>
    <w:rsid w:val="0030117D"/>
    <w:rsid w:val="00301184"/>
    <w:rsid w:val="003012A6"/>
    <w:rsid w:val="003014A2"/>
    <w:rsid w:val="003014F1"/>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D6"/>
    <w:rsid w:val="003C5843"/>
    <w:rsid w:val="003C5BCF"/>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26"/>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6A"/>
    <w:rsid w:val="00491D6B"/>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11B"/>
    <w:rsid w:val="004951C0"/>
    <w:rsid w:val="00495275"/>
    <w:rsid w:val="0049548C"/>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C7A"/>
    <w:rsid w:val="004C0DE0"/>
    <w:rsid w:val="004C0E1E"/>
    <w:rsid w:val="004C0F2C"/>
    <w:rsid w:val="004C134B"/>
    <w:rsid w:val="004C14FD"/>
    <w:rsid w:val="004C1778"/>
    <w:rsid w:val="004C1BCB"/>
    <w:rsid w:val="004C1D7F"/>
    <w:rsid w:val="004C216C"/>
    <w:rsid w:val="004C22BC"/>
    <w:rsid w:val="004C265B"/>
    <w:rsid w:val="004C2778"/>
    <w:rsid w:val="004C2944"/>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CD7"/>
    <w:rsid w:val="004D21F3"/>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D8"/>
    <w:rsid w:val="00550B71"/>
    <w:rsid w:val="00550DA3"/>
    <w:rsid w:val="00551004"/>
    <w:rsid w:val="00551229"/>
    <w:rsid w:val="0055125E"/>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A"/>
    <w:rsid w:val="00556A04"/>
    <w:rsid w:val="00556B67"/>
    <w:rsid w:val="00556BA4"/>
    <w:rsid w:val="00556E71"/>
    <w:rsid w:val="005573F9"/>
    <w:rsid w:val="005576CF"/>
    <w:rsid w:val="00557998"/>
    <w:rsid w:val="005579AB"/>
    <w:rsid w:val="00557A23"/>
    <w:rsid w:val="00557B65"/>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BB"/>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6B2"/>
    <w:rsid w:val="00593B7E"/>
    <w:rsid w:val="00593BE0"/>
    <w:rsid w:val="00593C7D"/>
    <w:rsid w:val="00593E9B"/>
    <w:rsid w:val="00593F4B"/>
    <w:rsid w:val="00593FB1"/>
    <w:rsid w:val="00593FF4"/>
    <w:rsid w:val="00594234"/>
    <w:rsid w:val="005942D9"/>
    <w:rsid w:val="00594642"/>
    <w:rsid w:val="005946FB"/>
    <w:rsid w:val="005948CE"/>
    <w:rsid w:val="00594960"/>
    <w:rsid w:val="00594A87"/>
    <w:rsid w:val="00594C29"/>
    <w:rsid w:val="00594CF1"/>
    <w:rsid w:val="005952E1"/>
    <w:rsid w:val="0059550E"/>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FAE"/>
    <w:rsid w:val="005B317B"/>
    <w:rsid w:val="005B3293"/>
    <w:rsid w:val="005B3386"/>
    <w:rsid w:val="005B33BD"/>
    <w:rsid w:val="005B35BF"/>
    <w:rsid w:val="005B36A1"/>
    <w:rsid w:val="005B3807"/>
    <w:rsid w:val="005B38D4"/>
    <w:rsid w:val="005B398A"/>
    <w:rsid w:val="005B3D37"/>
    <w:rsid w:val="005B3D5E"/>
    <w:rsid w:val="005B3E3B"/>
    <w:rsid w:val="005B4233"/>
    <w:rsid w:val="005B443D"/>
    <w:rsid w:val="005B485F"/>
    <w:rsid w:val="005B4AA1"/>
    <w:rsid w:val="005B4BC0"/>
    <w:rsid w:val="005B4E6C"/>
    <w:rsid w:val="005B50AF"/>
    <w:rsid w:val="005B50B4"/>
    <w:rsid w:val="005B50F1"/>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4E1"/>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A05"/>
    <w:rsid w:val="00621F55"/>
    <w:rsid w:val="0062204F"/>
    <w:rsid w:val="00622086"/>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89"/>
    <w:rsid w:val="00653416"/>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1AC"/>
    <w:rsid w:val="006655E5"/>
    <w:rsid w:val="006659CF"/>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2AE"/>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B10"/>
    <w:rsid w:val="006F4C06"/>
    <w:rsid w:val="006F4D78"/>
    <w:rsid w:val="006F4E46"/>
    <w:rsid w:val="006F4FB9"/>
    <w:rsid w:val="006F5110"/>
    <w:rsid w:val="006F5307"/>
    <w:rsid w:val="006F53D1"/>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1E28"/>
    <w:rsid w:val="00712119"/>
    <w:rsid w:val="007123A9"/>
    <w:rsid w:val="00712675"/>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5F2"/>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DE6"/>
    <w:rsid w:val="007D6DF9"/>
    <w:rsid w:val="007D6E2F"/>
    <w:rsid w:val="007D6F82"/>
    <w:rsid w:val="007D707B"/>
    <w:rsid w:val="007D7127"/>
    <w:rsid w:val="007D72DD"/>
    <w:rsid w:val="007D762A"/>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39F"/>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502"/>
    <w:rsid w:val="008476CF"/>
    <w:rsid w:val="00847870"/>
    <w:rsid w:val="00847BD9"/>
    <w:rsid w:val="00847C18"/>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50D9"/>
    <w:rsid w:val="008A5622"/>
    <w:rsid w:val="008A5829"/>
    <w:rsid w:val="008A5906"/>
    <w:rsid w:val="008A5D06"/>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0A"/>
    <w:rsid w:val="008D1EA8"/>
    <w:rsid w:val="008D1F14"/>
    <w:rsid w:val="008D2046"/>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29"/>
    <w:rsid w:val="00971F6C"/>
    <w:rsid w:val="00972228"/>
    <w:rsid w:val="00972479"/>
    <w:rsid w:val="0097255A"/>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B62"/>
    <w:rsid w:val="00984108"/>
    <w:rsid w:val="0098447B"/>
    <w:rsid w:val="009844DD"/>
    <w:rsid w:val="00984575"/>
    <w:rsid w:val="00984883"/>
    <w:rsid w:val="00984C45"/>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E81"/>
    <w:rsid w:val="009D4269"/>
    <w:rsid w:val="009D4542"/>
    <w:rsid w:val="009D476D"/>
    <w:rsid w:val="009D486A"/>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B91"/>
    <w:rsid w:val="009D7FBE"/>
    <w:rsid w:val="009E01BA"/>
    <w:rsid w:val="009E02F8"/>
    <w:rsid w:val="009E04F8"/>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3DF"/>
    <w:rsid w:val="00A325C2"/>
    <w:rsid w:val="00A3287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602D8"/>
    <w:rsid w:val="00A60309"/>
    <w:rsid w:val="00A6058A"/>
    <w:rsid w:val="00A608A3"/>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3036"/>
    <w:rsid w:val="00A8314A"/>
    <w:rsid w:val="00A831AD"/>
    <w:rsid w:val="00A83ECD"/>
    <w:rsid w:val="00A83F0C"/>
    <w:rsid w:val="00A84145"/>
    <w:rsid w:val="00A84C47"/>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7E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B37"/>
    <w:rsid w:val="00A93DCE"/>
    <w:rsid w:val="00A94154"/>
    <w:rsid w:val="00A9449E"/>
    <w:rsid w:val="00A944C8"/>
    <w:rsid w:val="00A945D5"/>
    <w:rsid w:val="00A94C05"/>
    <w:rsid w:val="00A94C7C"/>
    <w:rsid w:val="00A95145"/>
    <w:rsid w:val="00A95574"/>
    <w:rsid w:val="00A955AC"/>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64DA"/>
    <w:rsid w:val="00AC6F30"/>
    <w:rsid w:val="00AC712A"/>
    <w:rsid w:val="00AC769A"/>
    <w:rsid w:val="00AC7724"/>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3F2"/>
    <w:rsid w:val="00B52613"/>
    <w:rsid w:val="00B52759"/>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AF5"/>
    <w:rsid w:val="00B66EBD"/>
    <w:rsid w:val="00B67217"/>
    <w:rsid w:val="00B6721B"/>
    <w:rsid w:val="00B672E0"/>
    <w:rsid w:val="00B67770"/>
    <w:rsid w:val="00B67F96"/>
    <w:rsid w:val="00B70010"/>
    <w:rsid w:val="00B700DC"/>
    <w:rsid w:val="00B701FB"/>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DA"/>
    <w:rsid w:val="00BB2BD1"/>
    <w:rsid w:val="00BB2BF7"/>
    <w:rsid w:val="00BB2CBD"/>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464"/>
    <w:rsid w:val="00BC357F"/>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C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43"/>
    <w:rsid w:val="00BE08B2"/>
    <w:rsid w:val="00BE09BA"/>
    <w:rsid w:val="00BE146E"/>
    <w:rsid w:val="00BE175E"/>
    <w:rsid w:val="00BE199B"/>
    <w:rsid w:val="00BE1C6A"/>
    <w:rsid w:val="00BE1DB5"/>
    <w:rsid w:val="00BE1E56"/>
    <w:rsid w:val="00BE2011"/>
    <w:rsid w:val="00BE2018"/>
    <w:rsid w:val="00BE22A0"/>
    <w:rsid w:val="00BE22A6"/>
    <w:rsid w:val="00BE2593"/>
    <w:rsid w:val="00BE2690"/>
    <w:rsid w:val="00BE2963"/>
    <w:rsid w:val="00BE3058"/>
    <w:rsid w:val="00BE3330"/>
    <w:rsid w:val="00BE3409"/>
    <w:rsid w:val="00BE3555"/>
    <w:rsid w:val="00BE362F"/>
    <w:rsid w:val="00BE384F"/>
    <w:rsid w:val="00BE3988"/>
    <w:rsid w:val="00BE3A25"/>
    <w:rsid w:val="00BE3A71"/>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555"/>
    <w:rsid w:val="00C4068C"/>
    <w:rsid w:val="00C40788"/>
    <w:rsid w:val="00C407EC"/>
    <w:rsid w:val="00C40B0F"/>
    <w:rsid w:val="00C40C2C"/>
    <w:rsid w:val="00C40CB2"/>
    <w:rsid w:val="00C40D8F"/>
    <w:rsid w:val="00C40F85"/>
    <w:rsid w:val="00C40FF3"/>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441"/>
    <w:rsid w:val="00C7576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192"/>
    <w:rsid w:val="00C9323A"/>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890"/>
    <w:rsid w:val="00CB0A74"/>
    <w:rsid w:val="00CB0C12"/>
    <w:rsid w:val="00CB0C61"/>
    <w:rsid w:val="00CB11E5"/>
    <w:rsid w:val="00CB1315"/>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0F2"/>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C23"/>
    <w:rsid w:val="00D51C7F"/>
    <w:rsid w:val="00D51D7B"/>
    <w:rsid w:val="00D5221A"/>
    <w:rsid w:val="00D52448"/>
    <w:rsid w:val="00D524B1"/>
    <w:rsid w:val="00D5252D"/>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172"/>
    <w:rsid w:val="00D7628A"/>
    <w:rsid w:val="00D763E6"/>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83F"/>
    <w:rsid w:val="00D81B0B"/>
    <w:rsid w:val="00D81D18"/>
    <w:rsid w:val="00D81D50"/>
    <w:rsid w:val="00D82152"/>
    <w:rsid w:val="00D82154"/>
    <w:rsid w:val="00D82321"/>
    <w:rsid w:val="00D82345"/>
    <w:rsid w:val="00D824CE"/>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484"/>
    <w:rsid w:val="00DA2732"/>
    <w:rsid w:val="00DA27A7"/>
    <w:rsid w:val="00DA288D"/>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6B4"/>
    <w:rsid w:val="00DE0A4B"/>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1C0"/>
    <w:rsid w:val="00DF236F"/>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446"/>
    <w:rsid w:val="00DF74C7"/>
    <w:rsid w:val="00DF780F"/>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37EBA"/>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2A2"/>
    <w:rsid w:val="00E44498"/>
    <w:rsid w:val="00E44651"/>
    <w:rsid w:val="00E44739"/>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95E"/>
    <w:rsid w:val="00EA7967"/>
    <w:rsid w:val="00EA7BC9"/>
    <w:rsid w:val="00EB00B9"/>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9BD"/>
    <w:rsid w:val="00EF1ABD"/>
    <w:rsid w:val="00EF1C51"/>
    <w:rsid w:val="00EF1E0D"/>
    <w:rsid w:val="00EF1F53"/>
    <w:rsid w:val="00EF1FEF"/>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F9F"/>
    <w:rsid w:val="00EF5469"/>
    <w:rsid w:val="00EF55FE"/>
    <w:rsid w:val="00EF58DD"/>
    <w:rsid w:val="00EF592E"/>
    <w:rsid w:val="00EF59E1"/>
    <w:rsid w:val="00EF5C62"/>
    <w:rsid w:val="00EF5CC8"/>
    <w:rsid w:val="00EF5E04"/>
    <w:rsid w:val="00EF6050"/>
    <w:rsid w:val="00EF64DD"/>
    <w:rsid w:val="00EF68DA"/>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618"/>
    <w:rsid w:val="00F2168C"/>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3312"/>
    <w:rsid w:val="00FF377F"/>
    <w:rsid w:val="00FF3AB8"/>
    <w:rsid w:val="00FF3C28"/>
    <w:rsid w:val="00FF3D8E"/>
    <w:rsid w:val="00FF3FA4"/>
    <w:rsid w:val="00FF3FA5"/>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customStyle="1" w:styleId="UnresolvedMention">
    <w:name w:val="Unresolved Mention"/>
    <w:basedOn w:val="DefaultParagraphFont"/>
    <w:uiPriority w:val="99"/>
    <w:semiHidden/>
    <w:unhideWhenUsed/>
    <w:rsid w:val="00FF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statistics-destinations" TargetMode="External"/><Relationship Id="rId18" Type="http://schemas.openxmlformats.org/officeDocument/2006/relationships/hyperlink" Target="https://www.gov.uk/government/news/180-million-to-improve-childrens-development-in-the-early-years" TargetMode="External"/><Relationship Id="rId26" Type="http://schemas.openxmlformats.org/officeDocument/2006/relationships/hyperlink" Target="https://www.gov.uk/guidance/academies-accounts-direction" TargetMode="External"/><Relationship Id="rId39" Type="http://schemas.openxmlformats.org/officeDocument/2006/relationships/hyperlink" Target="https://www.gov.uk/search/all?organisations%5B%5D=department-for-education&amp;order=updated-newest&amp;parent=department-for-education" TargetMode="External"/><Relationship Id="rId21" Type="http://schemas.openxmlformats.org/officeDocument/2006/relationships/hyperlink" Target="https://www.gov.uk/government/consultations/review-of-post-16-qualifications-at-level-2-and-below" TargetMode="External"/><Relationship Id="rId34" Type="http://schemas.openxmlformats.org/officeDocument/2006/relationships/hyperlink" Target="https://www.gov.uk/government/publications/high-needs-funding-arrangements-2023-to-2024" TargetMode="External"/><Relationship Id="rId42" Type="http://schemas.openxmlformats.org/officeDocument/2006/relationships/hyperlink" Target="https://www.bbc.co.uk/news/uk-63318342" TargetMode="External"/><Relationship Id="rId47" Type="http://schemas.openxmlformats.org/officeDocument/2006/relationships/hyperlink" Target="https://www.gov.uk/guidance/apply-to-be-an-external-expert-with-ofqual" TargetMode="External"/><Relationship Id="rId50" Type="http://schemas.openxmlformats.org/officeDocument/2006/relationships/hyperlink" Target="https://www.tes.com/magazine/news/general/ofsted-teaching-pupils-speak-standard-english-social-justice" TargetMode="External"/><Relationship Id="rId55" Type="http://schemas.openxmlformats.org/officeDocument/2006/relationships/hyperlink" Target="https://pure.roehampton.ac.uk/portal/en/publications/violence-towards-teachingclassroom-assistants-in-mainstream-uk-sc" TargetMode="External"/><Relationship Id="rId63" Type="http://schemas.openxmlformats.org/officeDocument/2006/relationships/hyperlink" Target="https://www.gov.uk/government/publications/esfa-update-19-october-2022" TargetMode="External"/><Relationship Id="rId68" Type="http://schemas.openxmlformats.org/officeDocument/2006/relationships/hyperlink" Target="https://www.gov.uk/government/publications/high-needs-funding-due-diligence-process-for-new-special-post-16-provider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statistics/key-stage-4-performance-2022" TargetMode="External"/><Relationship Id="rId29" Type="http://schemas.openxmlformats.org/officeDocument/2006/relationships/hyperlink" Target="https://www.gov.uk/government/publications/national-tutoring-programme-ntp-allocations-for-2022-to-2023-academic-ye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statistics-pupil-absence" TargetMode="External"/><Relationship Id="rId24" Type="http://schemas.openxmlformats.org/officeDocument/2006/relationships/hyperlink" Target="https://www.tes.com/magazine/news/general/one-four-mats-north-east-considering-mergers" TargetMode="External"/><Relationship Id="rId32" Type="http://schemas.openxmlformats.org/officeDocument/2006/relationships/hyperlink" Target="https://schoolsweek.co.uk/pay-scales-for-teachers-and-leaders-in-england-from-september-2022/" TargetMode="External"/><Relationship Id="rId37" Type="http://schemas.openxmlformats.org/officeDocument/2006/relationships/hyperlink" Target="https://teachertapp.co.uk/wp-content/uploads/2022/10/2022-10-Early-Career-Framework-TT-Gatsby-Final.pdf" TargetMode="External"/><Relationship Id="rId40" Type="http://schemas.openxmlformats.org/officeDocument/2006/relationships/hyperlink" Target="https://www.gov.uk/government/publications/international-qualified-teacher-status-iqts" TargetMode="External"/><Relationship Id="rId45" Type="http://schemas.openxmlformats.org/officeDocument/2006/relationships/hyperlink" Target="https://www.bigmarker.com/ma-education1/Anxiety-and-mental-health-Supporting-secondary-students" TargetMode="External"/><Relationship Id="rId53" Type="http://schemas.openxmlformats.org/officeDocument/2006/relationships/hyperlink" Target="https://schoolsweek.co.uk/languages-french-german-spanish-attainment-benchmarks-proposed-to-boost-gcse-take-up/" TargetMode="External"/><Relationship Id="rId58" Type="http://schemas.openxmlformats.org/officeDocument/2006/relationships/hyperlink" Target="https://www.theguardian.com/education/2022/oct/20/universities-double-or-triple-student-hardship-funds-in-face-of-soaring-need" TargetMode="External"/><Relationship Id="rId66" Type="http://schemas.openxmlformats.org/officeDocument/2006/relationships/hyperlink" Target="https://www.gov.uk/government/publications/industry-placements-capacity-and-delivery-fund-2023-to-2024" TargetMode="External"/><Relationship Id="rId5" Type="http://schemas.openxmlformats.org/officeDocument/2006/relationships/webSettings" Target="webSettings.xml"/><Relationship Id="rId15" Type="http://schemas.openxmlformats.org/officeDocument/2006/relationships/hyperlink" Target="https://www.gov.uk/government/collections/statistics-performance-tables" TargetMode="External"/><Relationship Id="rId23" Type="http://schemas.openxmlformats.org/officeDocument/2006/relationships/image" Target="media/image1.jpeg"/><Relationship Id="rId28" Type="http://schemas.openxmlformats.org/officeDocument/2006/relationships/hyperlink" Target="https://www.gov.uk/government/publications/trust-capacity-fund-tcaf-award-recipients" TargetMode="External"/><Relationship Id="rId36" Type="http://schemas.openxmlformats.org/officeDocument/2006/relationships/hyperlink" Target="https://www.schooldash.com/blog.html" TargetMode="External"/><Relationship Id="rId49" Type="http://schemas.openxmlformats.org/officeDocument/2006/relationships/hyperlink" Target="https://www.gov.uk/guidance/school-inspection-data-summary-report-idsr-guide" TargetMode="External"/><Relationship Id="rId57" Type="http://schemas.openxmlformats.org/officeDocument/2006/relationships/hyperlink" Target="https://www.ascl.org.uk/News/Our-news-and-press-releases/Education-leaders-from-24,000-schools-demand-Gover" TargetMode="External"/><Relationship Id="rId61" Type="http://schemas.openxmlformats.org/officeDocument/2006/relationships/hyperlink" Target="https://www.gov.uk/government/publications/teachers-pension-grant-2022-to-2023-allocations" TargetMode="External"/><Relationship Id="rId10" Type="http://schemas.openxmlformats.org/officeDocument/2006/relationships/hyperlink" Target="https://www.gov.uk/government/statistics/pupil-absence-in-schools-in-england-autumn-2021-and-spring-2022" TargetMode="External"/><Relationship Id="rId19" Type="http://schemas.openxmlformats.org/officeDocument/2006/relationships/hyperlink" Target="https://www.gov.uk/government/publications/early-years-education-recovery-programme" TargetMode="External"/><Relationship Id="rId31" Type="http://schemas.openxmlformats.org/officeDocument/2006/relationships/hyperlink" Target="https://assets.publishing.service.gov.uk/government/uploads/system/uploads/attachment_data/file/1110990/2022_STPCD.pdf" TargetMode="External"/><Relationship Id="rId44" Type="http://schemas.openxmlformats.org/officeDocument/2006/relationships/hyperlink" Target="https://www.gov.uk/government/publications/challenging-victim-blaming-language-and-behaviours-when-dealing-with-the-online-experiences-of-children-and-young-people" TargetMode="External"/><Relationship Id="rId52" Type="http://schemas.openxmlformats.org/officeDocument/2006/relationships/hyperlink" Target="https://www.tes.com/magazine/analysis/general/falling-birth-rate-population-crisis-about-hit-schools" TargetMode="External"/><Relationship Id="rId60" Type="http://schemas.openxmlformats.org/officeDocument/2006/relationships/hyperlink" Target="https://www.gov.uk/government/publications/teachers-pension-employer-contribution-grant-tpecg" TargetMode="External"/><Relationship Id="rId65" Type="http://schemas.openxmlformats.org/officeDocument/2006/relationships/hyperlink" Target="https://www.gov.uk/search/all?organisations%5B%5D=education-and-skills-funding-agency&amp;order=updated-newest&amp;parent=education-and-skills-funding-agency"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find-school-performance-data.service.gov.uk/" TargetMode="External"/><Relationship Id="rId22" Type="http://schemas.openxmlformats.org/officeDocument/2006/relationships/hyperlink" Target="https://www.gov.uk/government/publications/qualifications-that-overlap-with-t-levels" TargetMode="External"/><Relationship Id="rId27" Type="http://schemas.openxmlformats.org/officeDocument/2006/relationships/hyperlink" Target="https://www.gov.uk/government/publications/apply-to-the-trust-capacity-fund" TargetMode="External"/><Relationship Id="rId30" Type="http://schemas.openxmlformats.org/officeDocument/2006/relationships/hyperlink" Target="https://educationendowmentfoundation.org.uk/national-tutoring-programme" TargetMode="External"/><Relationship Id="rId35" Type="http://schemas.openxmlformats.org/officeDocument/2006/relationships/hyperlink" Target="https://www.gov.uk/government/publications/creating-sustainable-high-needs-systems" TargetMode="External"/><Relationship Id="rId43" Type="http://schemas.openxmlformats.org/officeDocument/2006/relationships/hyperlink" Target="https://www.iicsa.org.uk/reports-recommendations/publications/inquiry/final-report" TargetMode="External"/><Relationship Id="rId48" Type="http://schemas.openxmlformats.org/officeDocument/2006/relationships/hyperlink" Target="https://www.gov.uk/government/publications/progress-8-school-performance-measure" TargetMode="External"/><Relationship Id="rId56" Type="http://schemas.openxmlformats.org/officeDocument/2006/relationships/hyperlink" Target="https://www.gov.uk/government/publications/setting-up-school-partnerships" TargetMode="External"/><Relationship Id="rId64" Type="http://schemas.openxmlformats.org/officeDocument/2006/relationships/hyperlink" Target="https://www.gov.uk/government/publications/support-for-apprentices-with-a-learning-difficulty-or-disability" TargetMode="External"/><Relationship Id="rId69" Type="http://schemas.openxmlformats.org/officeDocument/2006/relationships/image" Target="media/image2.png"/><Relationship Id="rId8" Type="http://schemas.openxmlformats.org/officeDocument/2006/relationships/hyperlink" Target="about:blank" TargetMode="External"/><Relationship Id="rId51" Type="http://schemas.openxmlformats.org/officeDocument/2006/relationships/hyperlink" Target="https://schoolsweek.co.uk/can-childcare-fill-primary-schools-empty-classroom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statistics/destinations-of-key-stage-4-and-5-students-2021" TargetMode="External"/><Relationship Id="rId17" Type="http://schemas.openxmlformats.org/officeDocument/2006/relationships/hyperlink" Target="https://www.gov.uk/government/collections/statistics-gcses-key-stage-4" TargetMode="External"/><Relationship Id="rId25" Type="http://schemas.openxmlformats.org/officeDocument/2006/relationships/hyperlink" Target="https://www.gov.uk/guidance/academies-accounts-return" TargetMode="External"/><Relationship Id="rId33" Type="http://schemas.openxmlformats.org/officeDocument/2006/relationships/hyperlink" Target="https://www.gov.uk/government/publications/schools-supplementary-grant-2022-to-2023" TargetMode="External"/><Relationship Id="rId38" Type="http://schemas.openxmlformats.org/officeDocument/2006/relationships/hyperlink" Target="https://www.gov.uk/guidance/treating-candidates-fairly-when-you-recruit-trainee-teachers" TargetMode="External"/><Relationship Id="rId46" Type="http://schemas.openxmlformats.org/officeDocument/2006/relationships/hyperlink" Target="http://www.bristol.ac.uk/efm/media/workingpapers/working_papers/pdffiles/dp22770.pdf" TargetMode="External"/><Relationship Id="rId59" Type="http://schemas.openxmlformats.org/officeDocument/2006/relationships/hyperlink" Target="https://www.theguardian.com/society/2022/oct/20/host-of-genes-and-genetic-variants-linked-to-dyslexia-identified" TargetMode="External"/><Relationship Id="rId67" Type="http://schemas.openxmlformats.org/officeDocument/2006/relationships/hyperlink" Target="https://www.gov.uk/government/publications/t-level-resources-for-universities" TargetMode="External"/><Relationship Id="rId20" Type="http://schemas.openxmlformats.org/officeDocument/2006/relationships/hyperlink" Target="https://www.gov.uk/guidance/early-years-experts-and-mentors-programme" TargetMode="External"/><Relationship Id="rId41" Type="http://schemas.openxmlformats.org/officeDocument/2006/relationships/hyperlink" Target="https://www.gov.uk/government/publications/early-years-initial-teacher-training-itt-providers-and-school-direct-early-years-lead-organisations" TargetMode="External"/><Relationship Id="rId54" Type="http://schemas.openxmlformats.org/officeDocument/2006/relationships/hyperlink" Target="https://schoolsweek.co.uk/revealed-the-winners-of-the-nasen-awards-2022/" TargetMode="External"/><Relationship Id="rId62" Type="http://schemas.openxmlformats.org/officeDocument/2006/relationships/hyperlink" Target="https://www.gov.uk/government/publications/teachers-pay-grant-methodology"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9F49-2B19-4A2C-BDD5-AEE2DD73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9427</Words>
  <Characters>53734</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2022-10-31T15:42:00Z</dcterms:created>
  <dcterms:modified xsi:type="dcterms:W3CDTF">2022-10-31T15:42:00Z</dcterms:modified>
</cp:coreProperties>
</file>