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50" w:rsidRDefault="00DB1250" w:rsidP="00DB1250">
      <w:pPr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‌ ‌ ‌ ‌ ‌ ‌ ‌ 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B1250" w:rsidTr="00DB1250">
        <w:tc>
          <w:tcPr>
            <w:tcW w:w="0" w:type="auto"/>
            <w:shd w:val="clear" w:color="auto" w:fill="FFFFFF"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"/>
                    <w:gridCol w:w="7898"/>
                    <w:gridCol w:w="564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8" name="Picture 58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8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34000" cy="1066800"/>
                                    <wp:effectExtent l="0" t="0" r="0" b="0"/>
                                    <wp:docPr id="57" name="Picture 57" descr="Safeguarding Briefing from Andrew Hall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Safeguarding Briefing from Andrew H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6" name="Picture 56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250">
              <w:trPr>
                <w:trHeight w:val="50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B1250" w:rsidRDefault="00DB1250" w:rsidP="00DB1250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"/>
                    <w:gridCol w:w="7433"/>
                    <w:gridCol w:w="796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4" name="Picture 54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3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32"/>
                                  <w:szCs w:val="32"/>
                                </w:rPr>
                                <w:t>Safeguarding Briefing - 13th May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E44AD"/>
                                  <w:sz w:val="32"/>
                                  <w:szCs w:val="32"/>
                                </w:rPr>
                                <w:t> 2022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Re. Grant funding for Senior Mental Health Lead Training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Yesterday the government announced further grant funding for Senior Mental Health Leads. However, there's only enough for a third of eligible schools, so I wanted to make sure you don't miss out. You can start your application today, even if your SMHL won't start the training immediately.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I've set out the steps you need to take below.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Best regards,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Andrew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</w:rPr>
                                <w:t>(PS I know I normally only send out on a Monday, but I thought you could get in ahead of the crowd!)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DB1250" w:rsidRDefault="00DB1250">
                              <w:pPr>
                                <w:spacing w:line="324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pict>
                                  <v:rect id="_x0000_i1295" style="width:451.3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3" name="Picture 53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1250" w:rsidRDefault="00DB12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00"/>
                    <w:gridCol w:w="600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2" name="Picture 52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0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36"/>
                                  <w:szCs w:val="36"/>
                                </w:rPr>
                                <w:t>Apply for your £1200 grant funding today!</w:t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1" name="Picture 51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00"/>
                    <w:gridCol w:w="600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50" name="Picture 50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0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Are you a state-funded school in England?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Have you identified a Senior Mental Health Lead?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Will the SMHL need training before March next year?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lastRenderedPageBreak/>
                                <w:t xml:space="preserve">Are you booking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 xml:space="preserve"> Quality Assured Training?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If you answered 'yes' to all four questions, you can apply now for a £1200 grant from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Applying early secures your funding, even if your SMHL won't start the course straightaway.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Our course, 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Implementing the role of the Senior Mental Health Lead (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DfE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 xml:space="preserve"> Course Code SMHL105)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, has been assessed as meeting the required quality criteria to deliver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grant funded senior mental health lead training for schools and colleges.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</w:rPr>
                                <w:t xml:space="preserve">*Eligible schools are state-funded schools in England, have not had the grant before and are booking a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</w:rPr>
                                <w:t xml:space="preserve"> quality assured course.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</w:rPr>
                                <w:t>The application process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</w:rPr>
                                  <w:t>Complete Form 1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*needs a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Sign-in Account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send confirmation that application has been received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School books 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Quality Assured Course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invites school to complete second stage application form (usually received within ten days)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School completes second stage application form including evidence of booking 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. an invoice)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confirm approval of grant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payout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grants quarterly, at the end of June 2022, September 2022, December 2022 and March 2023</w:t>
                              </w:r>
                            </w:p>
                            <w:p w:rsidR="00DB1250" w:rsidRDefault="00DB1250" w:rsidP="006E09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SMHL starts the course by the end of March 2023</w:t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49" name="Picture 49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1250" w:rsidRDefault="00DB1250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DB1250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B1250" w:rsidRDefault="00DB125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en-GB"/>
                    </w:rPr>
                    <w:drawing>
                      <wp:inline distT="0" distB="0" distL="0" distR="0">
                        <wp:extent cx="6350" cy="190500"/>
                        <wp:effectExtent l="0" t="0" r="0" b="0"/>
                        <wp:docPr id="48" name="Picture 48" descr="https://a.kajabi.com/9/9d08e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a.kajabi.com/9/9d08e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00"/>
                    <w:gridCol w:w="600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47" name="Picture 47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0"/>
                        </w:tblGrid>
                        <w:tr w:rsidR="00DB1250">
                          <w:tc>
                            <w:tcPr>
                              <w:tcW w:w="4000" w:type="pct"/>
                              <w:shd w:val="clear" w:color="auto" w:fill="9B59B6"/>
                              <w:tcMar>
                                <w:top w:w="225" w:type="dxa"/>
                                <w:left w:w="450" w:type="dxa"/>
                                <w:bottom w:w="225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1250" w:rsidRDefault="00DB125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</w:rPr>
                                  <w:t>Complete Form 1 Now!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46" name="Picture 46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250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B1250" w:rsidRDefault="00DB125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en-GB"/>
                    </w:rPr>
                    <w:drawing>
                      <wp:inline distT="0" distB="0" distL="0" distR="0">
                        <wp:extent cx="6350" cy="190500"/>
                        <wp:effectExtent l="0" t="0" r="0" b="0"/>
                        <wp:docPr id="45" name="Picture 45" descr="https://a.kajabi.com/9/9d08e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a.kajabi.com/9/9d08e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00"/>
                    <w:gridCol w:w="600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44" name="Picture 44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0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What is the grant for?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The grant can be used to pay for training and cover the cost of supply staff whilst leads are engaged in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lastRenderedPageBreak/>
                                <w:t>their learning. The value of the grant is £1200 and our SMHL course costs £397+vat.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If you are applying for grant-funding, you should book the course using a Purchase Order, as this will include the information you need to submit to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 In most cases, the school will need to pay for the training before they receive the grant</w:t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381000" cy="6350"/>
                              <wp:effectExtent l="0" t="0" r="0" b="0"/>
                              <wp:docPr id="43" name="Picture 43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1250" w:rsidRDefault="00DB12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00"/>
                    <w:gridCol w:w="600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 wp14:anchorId="4F57600B" wp14:editId="660C5498">
                              <wp:extent cx="381000" cy="6350"/>
                              <wp:effectExtent l="0" t="0" r="0" b="0"/>
                              <wp:docPr id="42" name="Picture 42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0"/>
                        </w:tblGrid>
                        <w:tr w:rsidR="00DB1250">
                          <w:tc>
                            <w:tcPr>
                              <w:tcW w:w="4000" w:type="pct"/>
                              <w:shd w:val="clear" w:color="auto" w:fill="9B59B6"/>
                              <w:tcMar>
                                <w:top w:w="225" w:type="dxa"/>
                                <w:left w:w="450" w:type="dxa"/>
                                <w:bottom w:w="225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1250" w:rsidRDefault="00DB125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</w:rPr>
                                  <w:t>Order SMHL Training Now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 wp14:anchorId="021639D1" wp14:editId="29B4BE4D">
                              <wp:extent cx="381000" cy="6350"/>
                              <wp:effectExtent l="0" t="0" r="0" b="0"/>
                              <wp:docPr id="41" name="Picture 41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250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B1250" w:rsidRDefault="00DB125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en-GB"/>
                    </w:rPr>
                    <w:drawing>
                      <wp:inline distT="0" distB="0" distL="0" distR="0" wp14:anchorId="15F54C5F" wp14:editId="7E7F8C0F">
                        <wp:extent cx="6350" cy="190500"/>
                        <wp:effectExtent l="0" t="0" r="0" b="0"/>
                        <wp:docPr id="40" name="Picture 40" descr="https://a.kajabi.com/9/9d08e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a.kajabi.com/9/9d08e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5600"/>
                    <w:gridCol w:w="600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 wp14:anchorId="7E2D1A73" wp14:editId="235CA97C">
                              <wp:extent cx="381000" cy="6350"/>
                              <wp:effectExtent l="0" t="0" r="0" b="0"/>
                              <wp:docPr id="39" name="Picture 39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00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E44AD"/>
                                  <w:sz w:val="27"/>
                                  <w:szCs w:val="27"/>
                                </w:rPr>
                                <w:t>About our Senior Mental Health Lead Training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​Our SMHL course is available online and is self-paced. All the resources are in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SMHL.Pro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Hub and the SMHL works through the modules and completes assessments as they move through. They have a year to complete it.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Our SMHL course costs £397+vat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Find out more here: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Implementing the role of the Senior Mental Health Lead (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DfE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 xml:space="preserve"> Course Code SMHL105)</w:t>
                                </w:r>
                              </w:hyperlink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DB1250" w:rsidRDefault="00DB1250">
                              <w:pPr>
                                <w:pStyle w:val="NormalWeb"/>
                                <w:spacing w:line="324" w:lineRule="auto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The full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Guidance on applying for the grant is here: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https://www.gov.uk/guidance/senior-mental-health-lead-training</w:t>
                                </w:r>
                              </w:hyperlink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 wp14:anchorId="34DECFB1" wp14:editId="62D28461">
                              <wp:extent cx="381000" cy="6350"/>
                              <wp:effectExtent l="0" t="0" r="0" b="0"/>
                              <wp:docPr id="38" name="Picture 38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1250" w:rsidRDefault="00DB1250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B1250">
              <w:trPr>
                <w:trHeight w:val="20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B1250" w:rsidRDefault="00DB1250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en-GB"/>
                    </w:rPr>
                    <w:drawing>
                      <wp:inline distT="0" distB="0" distL="0" distR="0" wp14:anchorId="44FB8440" wp14:editId="000D52A9">
                        <wp:extent cx="6350" cy="190500"/>
                        <wp:effectExtent l="0" t="0" r="0" b="0"/>
                        <wp:docPr id="36" name="Picture 36" descr="https://a.kajabi.com/9/9d08e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a.kajabi.com/9/9d08e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25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"/>
                    <w:gridCol w:w="7898"/>
                    <w:gridCol w:w="564"/>
                  </w:tblGrid>
                  <w:tr w:rsidR="00DB1250">
                    <w:trPr>
                      <w:jc w:val="center"/>
                    </w:trPr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 wp14:anchorId="1A28D4D8" wp14:editId="2B7A25D5">
                              <wp:extent cx="381000" cy="6350"/>
                              <wp:effectExtent l="0" t="0" r="0" b="0"/>
                              <wp:docPr id="35" name="Picture 35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8"/>
                        </w:tblGrid>
                        <w:tr w:rsidR="00DB1250">
                          <w:tc>
                            <w:tcPr>
                              <w:tcW w:w="0" w:type="auto"/>
                              <w:hideMark/>
                            </w:tcPr>
                            <w:p w:rsidR="00DB1250" w:rsidRDefault="00DB125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lang w:eastAsia="en-GB"/>
                                </w:rPr>
                                <w:drawing>
                                  <wp:inline distT="0" distB="0" distL="0" distR="0" wp14:anchorId="080A28D4" wp14:editId="08CD031E">
                                    <wp:extent cx="5334000" cy="1066800"/>
                                    <wp:effectExtent l="0" t="0" r="0" b="0"/>
                                    <wp:docPr id="34" name="Picture 34" descr="Join Safeguarding.Pro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 descr="Join Safeguarding.Pr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1250" w:rsidRDefault="00DB12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Align w:val="center"/>
                        <w:hideMark/>
                      </w:tcPr>
                      <w:p w:rsidR="00DB1250" w:rsidRDefault="00DB125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eastAsia="en-GB"/>
                          </w:rPr>
                          <w:drawing>
                            <wp:inline distT="0" distB="0" distL="0" distR="0" wp14:anchorId="3BFD4EEB" wp14:editId="7FC96FF9">
                              <wp:extent cx="381000" cy="6350"/>
                              <wp:effectExtent l="0" t="0" r="0" b="0"/>
                              <wp:docPr id="33" name="Picture 33" descr="https://a.kajabi.com/9/9d08ea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s://a.kajabi.com/9/9d08ea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250" w:rsidRDefault="00DB12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1250" w:rsidRDefault="00DB1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7858" w:rsidRDefault="00DB1250" w:rsidP="00DB1250"/>
    <w:sectPr w:rsidR="00127858" w:rsidSect="00DB125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AF7"/>
    <w:multiLevelType w:val="multilevel"/>
    <w:tmpl w:val="372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E8"/>
    <w:rsid w:val="001F0BB0"/>
    <w:rsid w:val="004A285F"/>
    <w:rsid w:val="00DB1250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790C"/>
  <w15:chartTrackingRefBased/>
  <w15:docId w15:val="{74FDEFDB-C6CA-460B-BC49-75A986C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2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250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1250"/>
    <w:rPr>
      <w:b/>
      <w:bCs/>
    </w:rPr>
  </w:style>
  <w:style w:type="character" w:styleId="Emphasis">
    <w:name w:val="Emphasis"/>
    <w:basedOn w:val="DefaultParagraphFont"/>
    <w:uiPriority w:val="20"/>
    <w:qFormat/>
    <w:rsid w:val="00DB1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kjbm.safeguardinginschools.co.uk/c/eJyFjztuwzAQRE8jNoEJ_vRhwcJBEiB1DiCsyLVEWyIFkorh20eOXaQLsMVOMXjzYF37AAuaC5xh8IdcYsJTiqHkw5qi22zxMRBcwM-9d0ZwpbmqGynIZJQUXDoBSjdQo6gFso45a0Fz4EJzkn3BZ6utOetqQWYzlbLmSh4r8bHf9XqleZlmutP2aOOWMpIFc4YR-4zBYepd3PnBXM7DQjOccNwgOR9GH7KdYpwztZFul-dMh7P_xnS7k5tOC627VivijWBCsJpLLpVimu5DuR2g5V0jZduwSrF_CQmtXz2G8tDSijPFO0mK-dpdXz7fKiH_2D4GlduK5v3-vqYIzkIuJJkVCyZqIZQZbzv7Nw8xxW2cDs5HixlpTOMd64xTtR7YD2M1jxg" TargetMode="External"/><Relationship Id="rId13" Type="http://schemas.openxmlformats.org/officeDocument/2006/relationships/hyperlink" Target="https://email.kjbm.safeguardinginschools.co.uk/c/eJyFUctugzAQ_Bq4VCC_IPjgQ6u2Us_9ALTYG3BibGSbRPn7Ok0OvVXaw4w0q5nZhW0bPayoznCCyTYph4jHGHxOzRaD2XW2wde4gnWjNYpRIanoes7qRXVaUAEMWT9pKScijZYT7484iMlIQutkMz63Dh0lQ8dqp5act1Tx14p9lrler-0cLu1-LmTerQGvscCE3obYrOgzuGZBcHlpHIJpcgTrrZ_rFVOCGcciNRhHE0pIr86naW0THHHeIZqisz7pJQSXWh2KzbOLQWcvGG_3eP0gmZTDQYraKkYYIx3llAtBZKs1UD3BgQ4954eeVIL86xBR282W5I_uUlAi6MDrrL7LQV6-3ivG_5zkESjfNlQfd_gWAxgNKddRbZgxthp8dngr3r98CjHs89IYGzQmbEOc77ZGGdGVN_wARfed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mail.kjbm.safeguardinginschools.co.uk/c/eJyFjztuwzAQRE8jNoEJ_vRhwcJBEiB1DiCsyLVEWyIFkorh20eOXaQLsMVOMXjzYF37AAuaC5xh8IdcYsJTiqHkw5qi22zxMRBcwM-9d0ZwpbmqGynIZJQUXDoBSjdQo6gFso45a0Fz4EJzkn3BZ6utOetqQWYzlbLmSh4r8bHf9XqleZlmutP2aOOWMpIFc4YR-4zBYepd3PnBXM7DQjOccNwgOR9GH7KdYpwztZFul-dMh7P_xnS7k5tOC627VivijWBCsJpLLpVimu5DuR2g5V0jZduwSrF_CQmtXz2G8tDSijPFO0mK-dpdXz7fKiH_2D4GlduK5v3-vqYIzkIuJJkVCyZqIZQZbzv7Nw8xxW2cDs5HixlpTOMd64xTtR7YD2M1jx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mail.kjbm.safeguardinginschools.co.uk/c/eJyFj71uhDAQhJ8GN9Eh_wIuXCRKIqXOAyBjL-ADbMs2Od3bh8tdkSqRttgd7Wi-0TH2Xm-gFn3WgzvlEhKMKfiSTzEFu5vigkewabf2zipKuCRcNIyiWY3AWoHHkWgsGHABBiQfB04pZ4c2oOwKPFytILgTFK1qLiXmij1X9P2Yy-VSZz3CtOtknZ-cz2YOYc21CfW-HB9og5z1BH0GbyH1NhwwXi3nYfvL-WC2sLovSNcbRtNJKmXXSo6cophSLAgjjHMsa2M0MYNuSdcw1ja44vjfhATGRQe-3DtKTjAnHUNFfR7Fnz5eK8p-Vb8DlWsE9XZbX1LQ1uhcUFIRCqTaaF9WuB7ZP_cQUtin-WRdMJChDmm6xVpluZAD_gZuxpS8" TargetMode="External"/><Relationship Id="rId11" Type="http://schemas.openxmlformats.org/officeDocument/2006/relationships/hyperlink" Target="https://email.kjbm.safeguardinginschools.co.uk/c/eJyFkLtuxCAURL_GNNEiXn4VFHkrdapUKwwXm7UNFuCsNl8fNpsiXaRbzBRXZ2bUth29WkHO6qQGd0g5RLAx-JwOWwxm19kFj2BVbjk6IxkVPRV1wxmaJLRWtVRwZZQVvKu7RgyUG20os60hgJLL8PvV1pR0NUOLnHLeUsXvK_ZS7nw-47ROCy60YoO1EFMRr1_rh82Pokg9gZ7DntEKKakRjgm8gXg0oaTycj4NK07KwriraJwfnU96CmFJWAe8z7_hDSzuE-Llmqfpetb3XdsL5CQjjJGacsqFID3WWlE9lF5dw3nbkEqQfwkRtNsc-Hwr2wtKBO04yvK9LHD39lQx_meDW6B82UA-X-VDDMpolTKKcoMMEWvl8wKXwv7xQ4hhH6eDcUFDAhzieMUaaUTdD-QbHzeXR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email.kjbm.safeguardinginschools.co.uk/c/eJyFkMtOxDAMRb9mskGt8uprkQUIkFjzASM3cdswaVwlGaT5ewLMgh2SF7Zl-14fOI5zhB3NBT5g9k0ulHBJFEtujkTuaounyHAHH87eGSn0JHTXK8k2Iy0fepSu9ha1yJF3XSdnDr2aNcy9YNkXvG8NneBjJ1kwWylHPqnHk3ytQTH4iJZCwB-p3DrM7QI5l5bS2l4vdaiWZaG01zRj9JSaHWOB0GwIoWxNQHCZ7ZgzrHiuIw7T2VE1Hc3lY97bDAuuV0jOx9XHbDeikFtL9fz9N4fBf2K6fdvtx0lO0zhMmnkjuZS8E0oorfnUWgvCzjCIsVdq6PlJ838VElp_-Or4l8WkBddiVKyY9wro4e35JNUfRL-Gyu1A8_KdPiUCZysClsyBBVNrIZaAt6r9U8-U6LpujfNkMeOdG3PG6W6a-RenOa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kjbm.safeguardinginschools.co.uk/c/eJyFkMtOxDAMRb9mskGt8uprkQUIkFjzASM3cdswaVwlGaT5ewLMgh2SF7Zl-14fOI5zhB3NBT5g9k0ulHBJFEtujkTuaounyHAHH87eGSn0JHTXK8k2Iy0fepSu9ha1yJF3XSdnDr2aNcy9YNkXvG8NneBjJ1kwWylHPqnHk3ytQTH4iJZCwB-p3DrM7QI5l5bS2l4vdaiWZaG01zRj9JSaHWOB0GwIoWxNQHCZ7ZgzrHiuIw7T2VE1Hc3lY97bDAuuV0jOx9XHbDeikFtL9fz9N4fBf2K6fdvtx0lO0zhMmnkjuZS8E0oorfnUWgvCzjCIsVdq6PlJ838VElp_-Or4l8WkBddiVKyY9wro4e35JNUfRL-Gyu1A8_KdPiUCZysClsyBBVNrIZaAt6r9U8-U6LpujfNkMeOdG3PG6W6a-RenOaM-" TargetMode="External"/><Relationship Id="rId14" Type="http://schemas.openxmlformats.org/officeDocument/2006/relationships/hyperlink" Target="https://email.kjbm.safeguardinginschools.co.uk/c/eJyFj7luwzAQRL9GbAILvHSwYOEgCZA6HyCsyJVEWyIFkorhv498FKkSYItZYAbzBta187CgPsMJendIOUQcYvA5HdYY7GayC57gAm7unNWcScVkVQtOJm3qRjEFtqdsaIcBBQwD47sWtG3A1iS5jM9UUzHaVpzMesp5TYU4Fvxjv8vlUiYYcNwgWudH55OZQphTaUK5nXfHHYksmBKM2CX0FmNnw07k9fnUL3_Fn-AWZ_eN8XpjqVvFlWobJYnTnHJOKyaYkJKq0hhgpoeGtbUQTU0LSf9tiGjc6tDnx1AlGZWsFSTrr339y-dbwcWv_Q-gfF1Rv9_kawxgDaRMol4xYywN-Dzjde--_32IYRung3XBYMIyxPFWa7WVlerpD0ndl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Cantley</dc:creator>
  <cp:keywords/>
  <dc:description/>
  <cp:lastModifiedBy>Peter Cantley</cp:lastModifiedBy>
  <cp:revision>3</cp:revision>
  <dcterms:created xsi:type="dcterms:W3CDTF">2022-05-13T13:48:00Z</dcterms:created>
  <dcterms:modified xsi:type="dcterms:W3CDTF">2022-05-13T13:52:00Z</dcterms:modified>
</cp:coreProperties>
</file>